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4D" w:rsidRDefault="00F51C4D" w:rsidP="00F51C4D">
      <w:pPr>
        <w:pStyle w:val="Heading1"/>
        <w:numPr>
          <w:ilvl w:val="0"/>
          <w:numId w:val="2"/>
        </w:numPr>
        <w:ind w:left="567" w:hanging="567"/>
      </w:pPr>
      <w:bookmarkStart w:id="0" w:name="_Toc378852104"/>
      <w:bookmarkStart w:id="1" w:name="_Toc387654425"/>
      <w:r>
        <w:t>What the data tells us about Ethnic Diversity</w:t>
      </w:r>
      <w:bookmarkStart w:id="2" w:name="_Toc378852105"/>
      <w:bookmarkEnd w:id="0"/>
      <w:bookmarkEnd w:id="2"/>
      <w:r>
        <w:t xml:space="preserve"> in Milton Keynes</w:t>
      </w:r>
      <w:bookmarkEnd w:id="1"/>
    </w:p>
    <w:p w:rsidR="00F51C4D" w:rsidRDefault="00F51C4D" w:rsidP="00F51C4D">
      <w:pPr>
        <w:spacing w:before="0" w:after="0"/>
      </w:pPr>
    </w:p>
    <w:p w:rsidR="00F51C4D" w:rsidRDefault="00F51C4D" w:rsidP="00F51C4D">
      <w:pPr>
        <w:ind w:left="567"/>
      </w:pPr>
      <w:r>
        <w:t>This section looks at the contextual profile of Milton Keynes and lays out the extent and composition of ethnic diversity within Milton Keynes. Data shows that there is growing ethnic diversity across the borough, varying by type of ethnic minority category and by density of ethnic populations. This data highlights that there is an increasing need to focus on this area, for further service development and to meet the needs of the growing ethnically diverse population.</w:t>
      </w:r>
    </w:p>
    <w:p w:rsidR="00F51C4D" w:rsidRDefault="00F51C4D" w:rsidP="00F51C4D">
      <w:pPr>
        <w:spacing w:before="0" w:after="0"/>
      </w:pPr>
    </w:p>
    <w:p w:rsidR="00F51C4D" w:rsidRDefault="00F51C4D" w:rsidP="00F51C4D">
      <w:pPr>
        <w:pStyle w:val="Heading2"/>
        <w:numPr>
          <w:ilvl w:val="1"/>
          <w:numId w:val="2"/>
        </w:numPr>
      </w:pPr>
      <w:r>
        <w:rPr>
          <w:b/>
        </w:rPr>
        <w:t>Data showing current levels of ethnic diversity</w:t>
      </w:r>
      <w:r>
        <w:t>:</w:t>
      </w:r>
    </w:p>
    <w:p w:rsidR="00F51C4D" w:rsidRDefault="00F51C4D" w:rsidP="00F51C4D">
      <w:pPr>
        <w:spacing w:before="0" w:after="0"/>
      </w:pPr>
    </w:p>
    <w:p w:rsidR="00F51C4D" w:rsidRDefault="00F51C4D" w:rsidP="00F51C4D">
      <w:pPr>
        <w:pStyle w:val="Heading3"/>
        <w:keepNext w:val="0"/>
        <w:keepLines w:val="0"/>
        <w:numPr>
          <w:ilvl w:val="2"/>
          <w:numId w:val="2"/>
        </w:numPr>
        <w:spacing w:before="0" w:after="0"/>
        <w:ind w:left="709" w:hanging="709"/>
        <w:contextualSpacing/>
      </w:pPr>
      <w:r>
        <w:t>Data on ethnic diversity is recorded on a national (census</w:t>
      </w:r>
      <w:r>
        <w:rPr>
          <w:vertAlign w:val="superscript"/>
        </w:rPr>
        <w:footnoteReference w:id="1"/>
      </w:r>
      <w:r>
        <w:t xml:space="preserve">) level and on a local level. The census produces comprehensive population statistics, the last census took place in 2011; data has gradually been released throughout 2013. The data is broken down geographically; at the time of publishing, data was available at borough </w:t>
      </w:r>
      <w:proofErr w:type="gramStart"/>
      <w:r>
        <w:t>wide and ward level</w:t>
      </w:r>
      <w:proofErr w:type="gramEnd"/>
      <w:r>
        <w:t xml:space="preserve"> and can be compared with other local authorities and the national average. The 2011 data can be compared with the previous census of 2001 to highlight trends in ethnic diversity levels. Census data has been used to look at ethnic diversity across Milton Keynes, including </w:t>
      </w:r>
      <w:proofErr w:type="gramStart"/>
      <w:r>
        <w:t>cross tabulated</w:t>
      </w:r>
      <w:proofErr w:type="gramEnd"/>
      <w:r>
        <w:t xml:space="preserve"> data showing information such as:</w:t>
      </w:r>
    </w:p>
    <w:p w:rsidR="00F51C4D" w:rsidRDefault="00F51C4D" w:rsidP="00F51C4D">
      <w:pPr>
        <w:spacing w:before="0" w:after="0"/>
        <w:ind w:hanging="709"/>
        <w:contextualSpacing/>
      </w:pPr>
    </w:p>
    <w:p w:rsidR="00F51C4D" w:rsidRDefault="00F51C4D" w:rsidP="00F51C4D">
      <w:pPr>
        <w:pStyle w:val="ListParagraph"/>
        <w:numPr>
          <w:ilvl w:val="0"/>
          <w:numId w:val="4"/>
        </w:numPr>
        <w:spacing w:before="0" w:after="0"/>
        <w:ind w:left="1134" w:hanging="425"/>
      </w:pPr>
      <w:r>
        <w:t>Economic activity by ethnicity</w:t>
      </w:r>
    </w:p>
    <w:p w:rsidR="00F51C4D" w:rsidRDefault="00F51C4D" w:rsidP="00F51C4D">
      <w:pPr>
        <w:pStyle w:val="ListParagraph"/>
        <w:numPr>
          <w:ilvl w:val="0"/>
          <w:numId w:val="4"/>
        </w:numPr>
        <w:spacing w:before="0" w:after="0"/>
        <w:ind w:left="1134" w:hanging="425"/>
      </w:pPr>
      <w:r>
        <w:t>Occupation by ethnicity</w:t>
      </w:r>
    </w:p>
    <w:p w:rsidR="00F51C4D" w:rsidRDefault="00F51C4D" w:rsidP="00F51C4D">
      <w:pPr>
        <w:pStyle w:val="ListParagraph"/>
        <w:numPr>
          <w:ilvl w:val="0"/>
          <w:numId w:val="4"/>
        </w:numPr>
        <w:spacing w:before="0" w:after="0"/>
        <w:ind w:left="1134" w:hanging="425"/>
      </w:pPr>
      <w:r>
        <w:t>Qualification levels by ethnicity</w:t>
      </w:r>
    </w:p>
    <w:p w:rsidR="00F51C4D" w:rsidRDefault="00F51C4D" w:rsidP="00F51C4D">
      <w:pPr>
        <w:pStyle w:val="ListParagraph"/>
        <w:numPr>
          <w:ilvl w:val="0"/>
          <w:numId w:val="4"/>
        </w:numPr>
        <w:spacing w:before="0" w:after="0"/>
        <w:ind w:left="1134" w:hanging="425"/>
      </w:pPr>
      <w:proofErr w:type="gramStart"/>
      <w:r>
        <w:t>Housing tenure by ethnicity.</w:t>
      </w:r>
      <w:proofErr w:type="gramEnd"/>
    </w:p>
    <w:p w:rsidR="00F51C4D" w:rsidRDefault="00F51C4D" w:rsidP="00F51C4D">
      <w:pPr>
        <w:spacing w:before="0" w:after="0"/>
      </w:pPr>
    </w:p>
    <w:p w:rsidR="00F51C4D" w:rsidRDefault="00F51C4D" w:rsidP="00F51C4D">
      <w:pPr>
        <w:spacing w:before="0" w:after="0"/>
      </w:pPr>
      <w:r>
        <w:t>This highlights the position and status of ethnic groups.</w:t>
      </w:r>
    </w:p>
    <w:p w:rsidR="00F51C4D" w:rsidRDefault="00F51C4D" w:rsidP="00F51C4D">
      <w:pPr>
        <w:spacing w:before="0" w:after="0"/>
      </w:pPr>
    </w:p>
    <w:p w:rsidR="00F51C4D" w:rsidRDefault="00F51C4D" w:rsidP="00F51C4D">
      <w:pPr>
        <w:spacing w:before="0" w:after="0"/>
      </w:pPr>
      <w:r>
        <w:t>Data for live birth by non-UK born mothers</w:t>
      </w:r>
      <w:r>
        <w:rPr>
          <w:vertAlign w:val="superscript"/>
        </w:rPr>
        <w:footnoteReference w:id="2"/>
      </w:r>
      <w:r>
        <w:t xml:space="preserve"> in Milton Keynes is available on an annual basis; last data released was 2012; borough data can be compared with national data and statistical neighbours.</w:t>
      </w:r>
    </w:p>
    <w:p w:rsidR="00F51C4D" w:rsidRDefault="00F51C4D" w:rsidP="00F51C4D">
      <w:pPr>
        <w:spacing w:before="0" w:after="0"/>
      </w:pPr>
    </w:p>
    <w:p w:rsidR="00F51C4D" w:rsidRDefault="00F51C4D" w:rsidP="00F51C4D">
      <w:pPr>
        <w:pStyle w:val="Heading3"/>
        <w:keepNext w:val="0"/>
        <w:keepLines w:val="0"/>
        <w:numPr>
          <w:ilvl w:val="2"/>
          <w:numId w:val="2"/>
        </w:numPr>
        <w:spacing w:before="0" w:after="0"/>
        <w:ind w:left="709" w:hanging="709"/>
        <w:contextualSpacing/>
      </w:pPr>
      <w:r>
        <w:t>Local data includes the schools pupil census,</w:t>
      </w:r>
      <w:r>
        <w:rPr>
          <w:vertAlign w:val="superscript"/>
        </w:rPr>
        <w:footnoteReference w:id="3"/>
      </w:r>
      <w:r>
        <w:t xml:space="preserve"> an annual data collection; this provides a detailed regular update on changes in proportions of ethnic groups and languages in primary and secondary schools. </w:t>
      </w:r>
      <w:proofErr w:type="gramStart"/>
      <w:r>
        <w:t>This data was last published in 2013 and is available at a ward level</w:t>
      </w:r>
      <w:proofErr w:type="gramEnd"/>
      <w:r>
        <w:t xml:space="preserve">; previous years can be compared to show changes in proportions of ethnic groups. Educational attainment data is available on an annual basis and can be compared to national figures; at the time of publishing 2012 data was the most complete set of data available, with some availability of 2013 data. </w:t>
      </w:r>
    </w:p>
    <w:p w:rsidR="00F51C4D" w:rsidRDefault="00F51C4D" w:rsidP="00F51C4D">
      <w:pPr>
        <w:spacing w:before="0" w:after="0"/>
      </w:pPr>
    </w:p>
    <w:p w:rsidR="00F51C4D" w:rsidRDefault="00F51C4D" w:rsidP="00F51C4D">
      <w:pPr>
        <w:pStyle w:val="Heading3"/>
        <w:keepNext w:val="0"/>
        <w:keepLines w:val="0"/>
        <w:numPr>
          <w:ilvl w:val="2"/>
          <w:numId w:val="2"/>
        </w:numPr>
        <w:spacing w:before="0" w:after="0"/>
        <w:ind w:left="709" w:hanging="709"/>
        <w:contextualSpacing/>
      </w:pPr>
      <w:proofErr w:type="gramStart"/>
      <w:r>
        <w:t>When looking at services and how they respond to the increasing levels of ethnic diversity in Milton Keynes, where possible it is pertinent to look at BME representation amongst the key services that represent our focus for this Commission’s report, i.e. health, childcare, school and Council staff, to identify whether the workforce amongst these services have a significant representation of BME groups.</w:t>
      </w:r>
      <w:proofErr w:type="gramEnd"/>
      <w:r>
        <w:t xml:space="preserve"> This was highlighted in both the consultation with service users and the select committee hearings as a key issue.</w:t>
      </w:r>
    </w:p>
    <w:p w:rsidR="00F51C4D" w:rsidRDefault="00F51C4D" w:rsidP="00F51C4D">
      <w:pPr>
        <w:spacing w:before="0" w:after="0"/>
      </w:pPr>
    </w:p>
    <w:p w:rsidR="00F51C4D" w:rsidRDefault="00F51C4D" w:rsidP="00F51C4D">
      <w:pPr>
        <w:pStyle w:val="Heading3"/>
        <w:keepNext w:val="0"/>
        <w:keepLines w:val="0"/>
        <w:numPr>
          <w:ilvl w:val="2"/>
          <w:numId w:val="2"/>
        </w:numPr>
        <w:spacing w:before="0" w:after="0"/>
        <w:ind w:left="709" w:hanging="709"/>
        <w:contextualSpacing/>
      </w:pPr>
      <w:r>
        <w:t>The data above will be the source of data included within this section.</w:t>
      </w:r>
    </w:p>
    <w:p w:rsidR="00F51C4D" w:rsidRDefault="00F51C4D" w:rsidP="00F51C4D">
      <w:pPr>
        <w:spacing w:before="0" w:after="0"/>
        <w:ind w:hanging="709"/>
        <w:contextualSpacing/>
      </w:pPr>
    </w:p>
    <w:p w:rsidR="00F51C4D" w:rsidRDefault="00F51C4D" w:rsidP="00F51C4D">
      <w:pPr>
        <w:pStyle w:val="Heading2"/>
        <w:numPr>
          <w:ilvl w:val="1"/>
          <w:numId w:val="2"/>
        </w:numPr>
      </w:pPr>
      <w:r>
        <w:rPr>
          <w:b/>
        </w:rPr>
        <w:t xml:space="preserve">Milton Keynes economic overview </w:t>
      </w:r>
      <w:r>
        <w:rPr>
          <w:vertAlign w:val="superscript"/>
        </w:rPr>
        <w:footnoteReference w:id="4"/>
      </w:r>
    </w:p>
    <w:p w:rsidR="00F51C4D" w:rsidRDefault="00F51C4D" w:rsidP="00F51C4D">
      <w:pPr>
        <w:spacing w:before="0" w:after="0"/>
        <w:ind w:hanging="709"/>
        <w:contextualSpacing/>
      </w:pPr>
    </w:p>
    <w:p w:rsidR="00F51C4D" w:rsidRDefault="00F51C4D" w:rsidP="00F51C4D">
      <w:pPr>
        <w:pStyle w:val="ListParagraph"/>
        <w:numPr>
          <w:ilvl w:val="0"/>
          <w:numId w:val="6"/>
        </w:numPr>
        <w:spacing w:before="0" w:after="0"/>
        <w:ind w:left="993" w:hanging="284"/>
      </w:pPr>
      <w:r>
        <w:t>Milton Keynes is the seventh fastest growing local authority across England, with population increasing by 36,100 between 2001 and 2011, a 17% increase</w:t>
      </w:r>
    </w:p>
    <w:p w:rsidR="00F51C4D" w:rsidRDefault="00F51C4D" w:rsidP="00F51C4D">
      <w:pPr>
        <w:spacing w:before="0" w:after="0"/>
        <w:ind w:left="993" w:hanging="284"/>
      </w:pPr>
    </w:p>
    <w:p w:rsidR="00F51C4D" w:rsidRDefault="00F51C4D" w:rsidP="00F51C4D">
      <w:pPr>
        <w:pStyle w:val="ListParagraph"/>
        <w:numPr>
          <w:ilvl w:val="0"/>
          <w:numId w:val="6"/>
        </w:numPr>
        <w:spacing w:before="0" w:after="0"/>
        <w:ind w:left="993" w:hanging="284"/>
      </w:pPr>
      <w:r>
        <w:t>The population in Milton Keynes has a younger age profile than England; 22.3% are aged under 16 compared with 18.9% in England; 11.1% are aged over 65 compared with 16.3% in England</w:t>
      </w:r>
    </w:p>
    <w:p w:rsidR="00F51C4D" w:rsidRDefault="00F51C4D" w:rsidP="00F51C4D">
      <w:pPr>
        <w:spacing w:before="0" w:after="0"/>
        <w:ind w:left="993" w:hanging="284"/>
      </w:pPr>
    </w:p>
    <w:p w:rsidR="00F51C4D" w:rsidRDefault="00F51C4D" w:rsidP="00F51C4D">
      <w:pPr>
        <w:pStyle w:val="ListParagraph"/>
        <w:numPr>
          <w:ilvl w:val="0"/>
          <w:numId w:val="6"/>
        </w:numPr>
        <w:spacing w:before="0" w:after="0"/>
        <w:ind w:left="993" w:hanging="284"/>
      </w:pPr>
      <w:r>
        <w:t>On the whole, Milton Keynes has one of the strongest city economies in the UK</w:t>
      </w:r>
    </w:p>
    <w:p w:rsidR="00F51C4D" w:rsidRDefault="00F51C4D" w:rsidP="00F51C4D">
      <w:pPr>
        <w:spacing w:before="0" w:after="0"/>
        <w:ind w:left="993" w:hanging="284"/>
      </w:pPr>
    </w:p>
    <w:p w:rsidR="00F51C4D" w:rsidRDefault="00F51C4D" w:rsidP="00F51C4D">
      <w:pPr>
        <w:pStyle w:val="ListParagraph"/>
        <w:numPr>
          <w:ilvl w:val="0"/>
          <w:numId w:val="6"/>
        </w:numPr>
        <w:spacing w:before="0" w:after="0"/>
        <w:ind w:left="993" w:hanging="284"/>
      </w:pPr>
      <w:r>
        <w:t>Milton Keynes has one of the largest populations of businesses in the country: 11,005 during the recession in 2009, rising to 11,150 in 2012, a rise of 1.3%. It also has one of the highest levels of business start-ups in England. Large business units employing over 250 people made up 0.6% of all businesses in Milton Keynes in 2011 but they employed over one third of all employees in Milton Keynes</w:t>
      </w:r>
    </w:p>
    <w:p w:rsidR="00F51C4D" w:rsidRDefault="00F51C4D" w:rsidP="00F51C4D">
      <w:pPr>
        <w:spacing w:before="0" w:after="0"/>
        <w:ind w:left="993" w:hanging="284"/>
      </w:pPr>
    </w:p>
    <w:p w:rsidR="00F51C4D" w:rsidRDefault="00F51C4D" w:rsidP="00F51C4D">
      <w:pPr>
        <w:pStyle w:val="ListParagraph"/>
        <w:numPr>
          <w:ilvl w:val="0"/>
          <w:numId w:val="6"/>
        </w:numPr>
        <w:spacing w:before="0" w:after="0"/>
        <w:ind w:left="993" w:hanging="284"/>
      </w:pPr>
      <w:r>
        <w:t xml:space="preserve">The employment rate in Milton Keynes was higher </w:t>
      </w:r>
      <w:proofErr w:type="gramStart"/>
      <w:r>
        <w:t>than both in the South East and in England between 2004 and 2008 but fell below the South East between 2009 and 2010</w:t>
      </w:r>
      <w:proofErr w:type="gramEnd"/>
      <w:r>
        <w:t>. 68% of Milton Keynes residents aged 16-74 are in employment compared to 62.1% in England</w:t>
      </w:r>
    </w:p>
    <w:p w:rsidR="00F51C4D" w:rsidRDefault="00F51C4D" w:rsidP="00F51C4D">
      <w:pPr>
        <w:spacing w:before="0" w:after="0"/>
        <w:ind w:left="993" w:hanging="284"/>
      </w:pPr>
    </w:p>
    <w:p w:rsidR="00F51C4D" w:rsidRDefault="00F51C4D" w:rsidP="00F51C4D">
      <w:pPr>
        <w:pStyle w:val="ListParagraph"/>
        <w:numPr>
          <w:ilvl w:val="0"/>
          <w:numId w:val="6"/>
        </w:numPr>
        <w:spacing w:before="0" w:after="0"/>
        <w:ind w:left="993" w:hanging="284"/>
      </w:pPr>
      <w:r>
        <w:t>85.3% of those in employment in Milton Keynes are employed in the service sector compared with 81.2% in England. The percentage of those employed in the manufacturing sector has declined from 14.4% in 2001 to 8% in 2011</w:t>
      </w:r>
    </w:p>
    <w:p w:rsidR="00F51C4D" w:rsidRDefault="00F51C4D" w:rsidP="00F51C4D">
      <w:pPr>
        <w:spacing w:before="0" w:after="0"/>
        <w:ind w:left="993" w:hanging="284"/>
      </w:pPr>
    </w:p>
    <w:p w:rsidR="00F51C4D" w:rsidRDefault="00F51C4D" w:rsidP="00F51C4D">
      <w:pPr>
        <w:pStyle w:val="ListParagraph"/>
        <w:numPr>
          <w:ilvl w:val="0"/>
          <w:numId w:val="6"/>
        </w:numPr>
        <w:spacing w:before="0" w:after="0"/>
        <w:ind w:left="993" w:hanging="284"/>
      </w:pPr>
      <w:r>
        <w:t xml:space="preserve">Self-employment rates in Milton Keynes were lower than in the South East and England between 2004 and 2009 but increased as a result of the recession </w:t>
      </w:r>
    </w:p>
    <w:p w:rsidR="00F51C4D" w:rsidRDefault="00F51C4D" w:rsidP="00F51C4D">
      <w:pPr>
        <w:spacing w:before="0" w:after="0"/>
        <w:ind w:left="993" w:hanging="284"/>
      </w:pPr>
    </w:p>
    <w:p w:rsidR="00F51C4D" w:rsidRDefault="00F51C4D" w:rsidP="00F51C4D">
      <w:pPr>
        <w:pStyle w:val="ListParagraph"/>
        <w:numPr>
          <w:ilvl w:val="0"/>
          <w:numId w:val="6"/>
        </w:numPr>
        <w:spacing w:before="0" w:after="0"/>
        <w:ind w:left="993" w:hanging="284"/>
      </w:pPr>
      <w:r>
        <w:t>The unemployment rate in MK was 3.3% in January 2013. Long term unemployment rates in Milton Keynes remain low but there has been a general rise in the rate since the recession in 2009, 0.1% in 2002 to 0.8% in December 2012</w:t>
      </w:r>
    </w:p>
    <w:p w:rsidR="00F51C4D" w:rsidRDefault="00F51C4D" w:rsidP="00F51C4D">
      <w:pPr>
        <w:spacing w:before="0" w:after="0"/>
        <w:ind w:left="993" w:hanging="284"/>
      </w:pPr>
    </w:p>
    <w:p w:rsidR="00F51C4D" w:rsidRDefault="00F51C4D" w:rsidP="00F51C4D">
      <w:pPr>
        <w:pStyle w:val="ListParagraph"/>
        <w:numPr>
          <w:ilvl w:val="0"/>
          <w:numId w:val="6"/>
        </w:numPr>
        <w:spacing w:before="0" w:after="0"/>
        <w:ind w:left="993" w:hanging="284"/>
      </w:pPr>
      <w:r>
        <w:t>The proportion of people employed as managers and senior official occupations declined from 16.6% to 10.9% between 2001 and 2011. The number of people, however, employed in professional occupations</w:t>
      </w:r>
      <w:r>
        <w:rPr>
          <w:vertAlign w:val="superscript"/>
        </w:rPr>
        <w:footnoteReference w:id="5"/>
      </w:r>
      <w:r>
        <w:t xml:space="preserve"> increased from 11.4% to 18.2% between 2001 and 2011</w:t>
      </w:r>
    </w:p>
    <w:p w:rsidR="00F51C4D" w:rsidRDefault="00F51C4D" w:rsidP="00F51C4D">
      <w:pPr>
        <w:spacing w:before="0" w:after="0"/>
      </w:pPr>
    </w:p>
    <w:p w:rsidR="00F51C4D" w:rsidRDefault="00F51C4D" w:rsidP="00F51C4D">
      <w:pPr>
        <w:pStyle w:val="ListParagraph"/>
        <w:numPr>
          <w:ilvl w:val="0"/>
          <w:numId w:val="6"/>
        </w:numPr>
        <w:spacing w:before="0" w:after="0"/>
        <w:ind w:left="993" w:hanging="284"/>
      </w:pPr>
      <w:r>
        <w:t>18% of the population in Milton Keynes have no qualifications compared to 22.5% in England</w:t>
      </w:r>
    </w:p>
    <w:p w:rsidR="00F51C4D" w:rsidRDefault="00F51C4D" w:rsidP="00F51C4D">
      <w:pPr>
        <w:spacing w:before="0" w:after="0"/>
        <w:ind w:left="993" w:hanging="284"/>
      </w:pPr>
    </w:p>
    <w:p w:rsidR="00F51C4D" w:rsidRDefault="00F51C4D" w:rsidP="00F51C4D">
      <w:pPr>
        <w:pStyle w:val="ListParagraph"/>
        <w:numPr>
          <w:ilvl w:val="0"/>
          <w:numId w:val="6"/>
        </w:numPr>
        <w:spacing w:before="0" w:after="0"/>
        <w:ind w:left="993" w:hanging="284"/>
      </w:pPr>
      <w:r>
        <w:t>28.2% of the population in Milton Keynes have a degree or higher qualification (18.9% in 2001), compared with 27.4% in England.</w:t>
      </w:r>
    </w:p>
    <w:p w:rsidR="00F51C4D" w:rsidRDefault="00F51C4D" w:rsidP="00F51C4D">
      <w:pPr>
        <w:pStyle w:val="ListParagraph"/>
      </w:pPr>
    </w:p>
    <w:p w:rsidR="00F51C4D" w:rsidRDefault="00F51C4D" w:rsidP="00F51C4D">
      <w:pPr>
        <w:pStyle w:val="Heading3"/>
        <w:numPr>
          <w:ilvl w:val="2"/>
          <w:numId w:val="2"/>
        </w:numPr>
      </w:pPr>
      <w:r>
        <w:rPr>
          <w:b/>
        </w:rPr>
        <w:t>Economic activity</w:t>
      </w:r>
      <w:r>
        <w:t xml:space="preserve"> </w:t>
      </w:r>
      <w:r>
        <w:rPr>
          <w:b/>
        </w:rPr>
        <w:t>in Milton Keynes by ethnicity</w:t>
      </w:r>
    </w:p>
    <w:p w:rsidR="00F51C4D" w:rsidRDefault="00F51C4D" w:rsidP="00F51C4D">
      <w:pPr>
        <w:pStyle w:val="Heading3"/>
        <w:numPr>
          <w:ilvl w:val="2"/>
          <w:numId w:val="2"/>
        </w:numPr>
      </w:pPr>
      <w:r>
        <w:t>The chart below shows levels of economic activity by ethnic groups, including:</w:t>
      </w:r>
    </w:p>
    <w:p w:rsidR="00F51C4D" w:rsidRDefault="00F51C4D" w:rsidP="00F51C4D">
      <w:pPr>
        <w:spacing w:before="0" w:after="0"/>
      </w:pPr>
    </w:p>
    <w:p w:rsidR="00F51C4D" w:rsidRDefault="00F51C4D" w:rsidP="00F51C4D">
      <w:pPr>
        <w:pStyle w:val="Heading2"/>
        <w:numPr>
          <w:ilvl w:val="0"/>
          <w:numId w:val="8"/>
        </w:numPr>
      </w:pPr>
      <w:r>
        <w:t>Those economically inactive</w:t>
      </w:r>
      <w:r>
        <w:rPr>
          <w:vertAlign w:val="superscript"/>
        </w:rPr>
        <w:footnoteReference w:id="6"/>
      </w:r>
    </w:p>
    <w:p w:rsidR="00F51C4D" w:rsidRDefault="00F51C4D" w:rsidP="00F51C4D">
      <w:pPr>
        <w:pStyle w:val="Heading2"/>
        <w:numPr>
          <w:ilvl w:val="0"/>
          <w:numId w:val="8"/>
        </w:numPr>
      </w:pPr>
      <w:r>
        <w:t>Those economically active; unemployed</w:t>
      </w:r>
    </w:p>
    <w:p w:rsidR="00F51C4D" w:rsidRDefault="00F51C4D" w:rsidP="00F51C4D">
      <w:pPr>
        <w:pStyle w:val="Heading2"/>
        <w:numPr>
          <w:ilvl w:val="0"/>
          <w:numId w:val="8"/>
        </w:numPr>
      </w:pPr>
      <w:proofErr w:type="gramStart"/>
      <w:r>
        <w:t>Those economically active; in employment.</w:t>
      </w:r>
      <w:proofErr w:type="gramEnd"/>
    </w:p>
    <w:p w:rsidR="00F51C4D" w:rsidRDefault="00F51C4D" w:rsidP="00F51C4D">
      <w:pPr>
        <w:pStyle w:val="Heading2"/>
        <w:numPr>
          <w:ilvl w:val="0"/>
          <w:numId w:val="0"/>
        </w:numPr>
        <w:ind w:left="718"/>
      </w:pPr>
    </w:p>
    <w:p w:rsidR="00F51C4D" w:rsidRDefault="00F51C4D" w:rsidP="00F51C4D">
      <w:pPr>
        <w:pStyle w:val="Heading3"/>
        <w:numPr>
          <w:ilvl w:val="2"/>
          <w:numId w:val="2"/>
        </w:numPr>
      </w:pPr>
      <w:r>
        <w:t>The chart shows that there are high levels of economically inactive amongst the following groups:</w:t>
      </w:r>
    </w:p>
    <w:p w:rsidR="00F51C4D" w:rsidRDefault="00F51C4D" w:rsidP="00F51C4D">
      <w:pPr>
        <w:spacing w:before="0" w:after="0"/>
      </w:pPr>
    </w:p>
    <w:p w:rsidR="00F51C4D" w:rsidRDefault="00F51C4D" w:rsidP="00F51C4D">
      <w:pPr>
        <w:pStyle w:val="Heading2"/>
        <w:numPr>
          <w:ilvl w:val="0"/>
          <w:numId w:val="10"/>
        </w:numPr>
      </w:pPr>
      <w:r>
        <w:t>Asian/Asian British: Bangladeshi</w:t>
      </w:r>
    </w:p>
    <w:p w:rsidR="00F51C4D" w:rsidRDefault="00F51C4D" w:rsidP="00F51C4D">
      <w:pPr>
        <w:pStyle w:val="Heading2"/>
        <w:numPr>
          <w:ilvl w:val="0"/>
          <w:numId w:val="10"/>
        </w:numPr>
      </w:pPr>
      <w:r>
        <w:t>Asian/Asian British: Pakistani</w:t>
      </w:r>
    </w:p>
    <w:p w:rsidR="00F51C4D" w:rsidRDefault="00F51C4D" w:rsidP="00F51C4D">
      <w:pPr>
        <w:pStyle w:val="Heading2"/>
        <w:numPr>
          <w:ilvl w:val="0"/>
          <w:numId w:val="10"/>
        </w:numPr>
      </w:pPr>
      <w:r>
        <w:t>White Irish</w:t>
      </w:r>
    </w:p>
    <w:p w:rsidR="00F51C4D" w:rsidRDefault="00F51C4D" w:rsidP="00F51C4D">
      <w:pPr>
        <w:pStyle w:val="Heading2"/>
        <w:numPr>
          <w:ilvl w:val="0"/>
          <w:numId w:val="10"/>
        </w:numPr>
      </w:pPr>
      <w:proofErr w:type="gramStart"/>
      <w:r>
        <w:t>White Gypsy or Irish Traveller showing the lowest levels of economic activity.</w:t>
      </w:r>
      <w:proofErr w:type="gramEnd"/>
    </w:p>
    <w:p w:rsidR="00F51C4D" w:rsidRDefault="00F51C4D" w:rsidP="00F51C4D">
      <w:pPr>
        <w:pStyle w:val="Heading3"/>
        <w:numPr>
          <w:ilvl w:val="2"/>
          <w:numId w:val="2"/>
        </w:numPr>
      </w:pPr>
      <w:r>
        <w:t>Low levels of ‘economically active: in employment’ can be found amongst the same groups as above.</w:t>
      </w:r>
    </w:p>
    <w:p w:rsidR="00F51C4D" w:rsidRDefault="00F51C4D" w:rsidP="00F51C4D">
      <w:pPr>
        <w:pStyle w:val="Heading3"/>
        <w:numPr>
          <w:ilvl w:val="2"/>
          <w:numId w:val="2"/>
        </w:numPr>
      </w:pPr>
      <w:r>
        <w:t>There are small proportions of unemployed amongst all ethnic groups; those with the highest proportions, ranging between 10-13% are:</w:t>
      </w:r>
    </w:p>
    <w:p w:rsidR="00F51C4D" w:rsidRDefault="00F51C4D" w:rsidP="00F51C4D">
      <w:pPr>
        <w:spacing w:before="0" w:after="0"/>
      </w:pPr>
    </w:p>
    <w:p w:rsidR="00F51C4D" w:rsidRDefault="00F51C4D" w:rsidP="00F51C4D">
      <w:pPr>
        <w:pStyle w:val="Heading2"/>
        <w:numPr>
          <w:ilvl w:val="0"/>
          <w:numId w:val="12"/>
        </w:numPr>
      </w:pPr>
      <w:r>
        <w:t>White Gypsy or Irish Traveller</w:t>
      </w:r>
    </w:p>
    <w:p w:rsidR="00F51C4D" w:rsidRDefault="00F51C4D" w:rsidP="00F51C4D">
      <w:pPr>
        <w:pStyle w:val="Heading2"/>
        <w:numPr>
          <w:ilvl w:val="0"/>
          <w:numId w:val="12"/>
        </w:numPr>
      </w:pPr>
      <w:r>
        <w:lastRenderedPageBreak/>
        <w:t>Black African / Caribbean / Black British</w:t>
      </w:r>
    </w:p>
    <w:p w:rsidR="00F51C4D" w:rsidRDefault="00F51C4D" w:rsidP="00F51C4D">
      <w:pPr>
        <w:pStyle w:val="Heading2"/>
        <w:numPr>
          <w:ilvl w:val="0"/>
          <w:numId w:val="12"/>
        </w:numPr>
      </w:pPr>
      <w:r>
        <w:t xml:space="preserve">Mixed /multiple ethnic </w:t>
      </w:r>
      <w:proofErr w:type="gramStart"/>
      <w:r>
        <w:t>group</w:t>
      </w:r>
      <w:proofErr w:type="gramEnd"/>
      <w:r>
        <w:t>: White and Black Caribbean.</w:t>
      </w:r>
    </w:p>
    <w:p w:rsidR="00F51C4D" w:rsidRDefault="00F51C4D" w:rsidP="00F51C4D"/>
    <w:p w:rsidR="00F51C4D" w:rsidRDefault="00F51C4D" w:rsidP="00F51C4D">
      <w:pPr>
        <w:pStyle w:val="Heading2"/>
        <w:numPr>
          <w:ilvl w:val="0"/>
          <w:numId w:val="0"/>
        </w:numPr>
        <w:ind w:left="718"/>
      </w:pPr>
      <w:r>
        <w:rPr>
          <w:noProof/>
          <w:lang w:eastAsia="en-GB"/>
        </w:rPr>
        <w:drawing>
          <wp:inline distT="0" distB="0" distL="0" distR="0">
            <wp:extent cx="5495925" cy="4581525"/>
            <wp:effectExtent l="0" t="0" r="9525"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581525"/>
                    </a:xfrm>
                    <a:prstGeom prst="rect">
                      <a:avLst/>
                    </a:prstGeom>
                    <a:noFill/>
                    <a:ln>
                      <a:noFill/>
                    </a:ln>
                  </pic:spPr>
                </pic:pic>
              </a:graphicData>
            </a:graphic>
          </wp:inline>
        </w:drawing>
      </w:r>
    </w:p>
    <w:p w:rsidR="00F51C4D" w:rsidRDefault="00F51C4D" w:rsidP="00F51C4D">
      <w:pPr>
        <w:spacing w:before="0" w:after="0"/>
      </w:pPr>
    </w:p>
    <w:p w:rsidR="00F51C4D" w:rsidRDefault="00F51C4D" w:rsidP="00F51C4D">
      <w:pPr>
        <w:pStyle w:val="Heading3"/>
        <w:numPr>
          <w:ilvl w:val="2"/>
          <w:numId w:val="2"/>
        </w:numPr>
      </w:pPr>
      <w:r>
        <w:rPr>
          <w:b/>
        </w:rPr>
        <w:t>Occupation in</w:t>
      </w:r>
      <w:r>
        <w:t xml:space="preserve"> </w:t>
      </w:r>
      <w:r>
        <w:rPr>
          <w:b/>
        </w:rPr>
        <w:t>Milton Keynes by ethnicity</w:t>
      </w:r>
    </w:p>
    <w:p w:rsidR="00F51C4D" w:rsidRDefault="00F51C4D" w:rsidP="00F51C4D">
      <w:r>
        <w:t xml:space="preserve">The chart below shows the distribution of occupation groups by ethnicity; there are nine occupation groups within ONS statistics. It can be seen that in some ethnic groups there is a significant proportion of managers and professional occupations, e.g. for Asian/British: Indian and Arab groups this represents approximately 50%. White other and Black / African / Caribbean / Black British are more significantly represented among elementary occupations. For other ethnic groups it is more evenly distributed across the occupations. </w:t>
      </w:r>
    </w:p>
    <w:p w:rsidR="00F51C4D" w:rsidRDefault="00F51C4D" w:rsidP="00F51C4D">
      <w:pPr>
        <w:spacing w:before="0" w:after="0"/>
      </w:pPr>
    </w:p>
    <w:p w:rsidR="00F51C4D" w:rsidRDefault="00F51C4D" w:rsidP="00F51C4D">
      <w:pPr>
        <w:pStyle w:val="Heading2"/>
        <w:numPr>
          <w:ilvl w:val="0"/>
          <w:numId w:val="0"/>
        </w:numPr>
        <w:ind w:left="718"/>
      </w:pPr>
      <w:r>
        <w:rPr>
          <w:noProof/>
          <w:lang w:eastAsia="en-GB"/>
        </w:rPr>
        <w:lastRenderedPageBreak/>
        <w:drawing>
          <wp:inline distT="0" distB="0" distL="0" distR="0">
            <wp:extent cx="5724525" cy="5743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743575"/>
                    </a:xfrm>
                    <a:prstGeom prst="rect">
                      <a:avLst/>
                    </a:prstGeom>
                    <a:noFill/>
                    <a:ln>
                      <a:noFill/>
                    </a:ln>
                  </pic:spPr>
                </pic:pic>
              </a:graphicData>
            </a:graphic>
          </wp:inline>
        </w:drawing>
      </w:r>
    </w:p>
    <w:p w:rsidR="00F51C4D" w:rsidRDefault="00F51C4D" w:rsidP="00F51C4D">
      <w:pPr>
        <w:spacing w:before="0" w:after="0"/>
        <w:ind w:hanging="709"/>
        <w:contextualSpacing/>
      </w:pPr>
    </w:p>
    <w:p w:rsidR="00F51C4D" w:rsidRDefault="00F51C4D" w:rsidP="00F51C4D">
      <w:pPr>
        <w:pStyle w:val="Heading3"/>
        <w:numPr>
          <w:ilvl w:val="2"/>
          <w:numId w:val="2"/>
        </w:numPr>
      </w:pPr>
      <w:r>
        <w:rPr>
          <w:b/>
        </w:rPr>
        <w:t>Qualification level in</w:t>
      </w:r>
      <w:r>
        <w:t xml:space="preserve"> </w:t>
      </w:r>
      <w:r>
        <w:rPr>
          <w:b/>
        </w:rPr>
        <w:t>Milton Keynes by ethnicity</w:t>
      </w:r>
    </w:p>
    <w:p w:rsidR="00F51C4D" w:rsidRDefault="00F51C4D" w:rsidP="00F51C4D">
      <w:proofErr w:type="gramStart"/>
      <w:r>
        <w:t>The chart below shows the distribution of qualification levels by ethnic group; it can be seen that there are significant levels of ‘no qualifications’ amongst some ethnic groups e.g. White Gypsy or Irish Traveller and White Irish; there are also significant proportions of ‘level 4’ qualifications, amongst most ethnic groups, with high representation in Asian/Asian British Chinese and Asian/Asian British Indian and Arab.</w:t>
      </w:r>
      <w:proofErr w:type="gramEnd"/>
    </w:p>
    <w:p w:rsidR="00F51C4D" w:rsidRDefault="00F51C4D" w:rsidP="00F51C4D">
      <w:pPr>
        <w:pStyle w:val="Heading2"/>
        <w:numPr>
          <w:ilvl w:val="0"/>
          <w:numId w:val="0"/>
        </w:numPr>
        <w:ind w:left="718"/>
      </w:pPr>
    </w:p>
    <w:p w:rsidR="00F51C4D" w:rsidRDefault="00F51C4D" w:rsidP="00F51C4D">
      <w:pPr>
        <w:pStyle w:val="Heading2"/>
        <w:numPr>
          <w:ilvl w:val="0"/>
          <w:numId w:val="0"/>
        </w:numPr>
        <w:ind w:left="718"/>
      </w:pPr>
      <w:r>
        <w:rPr>
          <w:noProof/>
          <w:lang w:eastAsia="en-GB"/>
        </w:rPr>
        <w:lastRenderedPageBreak/>
        <w:drawing>
          <wp:inline distT="0" distB="0" distL="0" distR="0">
            <wp:extent cx="5581650" cy="5648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5648325"/>
                    </a:xfrm>
                    <a:prstGeom prst="rect">
                      <a:avLst/>
                    </a:prstGeom>
                    <a:noFill/>
                    <a:ln>
                      <a:noFill/>
                    </a:ln>
                  </pic:spPr>
                </pic:pic>
              </a:graphicData>
            </a:graphic>
          </wp:inline>
        </w:drawing>
      </w:r>
    </w:p>
    <w:p w:rsidR="00F51C4D" w:rsidRDefault="00F51C4D" w:rsidP="00F51C4D">
      <w:pPr>
        <w:spacing w:before="0" w:after="0"/>
        <w:ind w:hanging="709"/>
        <w:contextualSpacing/>
      </w:pPr>
    </w:p>
    <w:p w:rsidR="00F51C4D" w:rsidRDefault="00F51C4D" w:rsidP="00F51C4D">
      <w:pPr>
        <w:pStyle w:val="Heading3"/>
        <w:numPr>
          <w:ilvl w:val="2"/>
          <w:numId w:val="2"/>
        </w:numPr>
      </w:pPr>
      <w:r>
        <w:rPr>
          <w:b/>
        </w:rPr>
        <w:t>Housing tenure in</w:t>
      </w:r>
      <w:r>
        <w:t xml:space="preserve"> </w:t>
      </w:r>
      <w:r>
        <w:rPr>
          <w:b/>
        </w:rPr>
        <w:t>Milton Keynes by ethnicity</w:t>
      </w:r>
    </w:p>
    <w:p w:rsidR="00F51C4D" w:rsidRDefault="00F51C4D" w:rsidP="00F51C4D">
      <w:r>
        <w:t xml:space="preserve">The chart below shows housing tenure by ethnic group; it can be seen that there are significant proportions of ‘owned with a mortgage or loan or shared ownership’, amongst all ethnic groups, except for the ‘White Gypsy or Irish Traveller’ group. There are also significant proportions of ‘private landlord or letting agency’, with high representation among Black / African /Caribbean / Black British groups. </w:t>
      </w:r>
    </w:p>
    <w:p w:rsidR="00F51C4D" w:rsidRDefault="00F51C4D" w:rsidP="00F51C4D">
      <w:pPr>
        <w:pStyle w:val="Heading2"/>
        <w:numPr>
          <w:ilvl w:val="0"/>
          <w:numId w:val="0"/>
        </w:numPr>
        <w:ind w:left="718"/>
      </w:pPr>
    </w:p>
    <w:p w:rsidR="00F51C4D" w:rsidRDefault="00F51C4D" w:rsidP="00F51C4D">
      <w:pPr>
        <w:spacing w:before="0" w:after="0"/>
      </w:pPr>
      <w:r>
        <w:rPr>
          <w:noProof/>
          <w:lang w:eastAsia="en-GB"/>
        </w:rPr>
        <w:lastRenderedPageBreak/>
        <w:drawing>
          <wp:inline distT="0" distB="0" distL="0" distR="0">
            <wp:extent cx="5486400" cy="5705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705475"/>
                    </a:xfrm>
                    <a:prstGeom prst="rect">
                      <a:avLst/>
                    </a:prstGeom>
                    <a:noFill/>
                    <a:ln>
                      <a:noFill/>
                    </a:ln>
                  </pic:spPr>
                </pic:pic>
              </a:graphicData>
            </a:graphic>
          </wp:inline>
        </w:drawing>
      </w:r>
    </w:p>
    <w:p w:rsidR="00F51C4D" w:rsidRDefault="00F51C4D" w:rsidP="00F51C4D">
      <w:pPr>
        <w:spacing w:before="0" w:after="0"/>
        <w:ind w:hanging="709"/>
        <w:contextualSpacing/>
      </w:pPr>
    </w:p>
    <w:p w:rsidR="00F51C4D" w:rsidRDefault="00F51C4D" w:rsidP="00F51C4D">
      <w:pPr>
        <w:pStyle w:val="Heading2"/>
        <w:numPr>
          <w:ilvl w:val="1"/>
          <w:numId w:val="2"/>
        </w:numPr>
      </w:pPr>
      <w:r>
        <w:t>Headline ethnicity statistics for Milton Keynes</w:t>
      </w:r>
    </w:p>
    <w:p w:rsidR="00F51C4D" w:rsidRDefault="00F51C4D" w:rsidP="00F51C4D">
      <w:pPr>
        <w:spacing w:before="0" w:after="0"/>
      </w:pPr>
    </w:p>
    <w:p w:rsidR="00F51C4D" w:rsidRDefault="00F51C4D" w:rsidP="00F51C4D">
      <w:pPr>
        <w:pStyle w:val="Heading3"/>
        <w:keepNext w:val="0"/>
        <w:keepLines w:val="0"/>
        <w:numPr>
          <w:ilvl w:val="2"/>
          <w:numId w:val="2"/>
        </w:numPr>
        <w:spacing w:before="0" w:after="0"/>
        <w:ind w:left="709" w:hanging="709"/>
        <w:contextualSpacing/>
      </w:pPr>
      <w:proofErr w:type="gramStart"/>
      <w:r>
        <w:t>2011 Census data: shows that 26.1% of the Milton Keynes population are from a black and minority ethnic group; this compares to 13.2% in 2001.</w:t>
      </w:r>
      <w:proofErr w:type="gramEnd"/>
      <w:r>
        <w:t xml:space="preserve"> In 2011 this was 18.9% for England as a whole</w:t>
      </w:r>
      <w:proofErr w:type="gramStart"/>
      <w:r>
        <w:t>;</w:t>
      </w:r>
      <w:proofErr w:type="gramEnd"/>
      <w:r>
        <w:t xml:space="preserve"> 13% for England in 2001.</w:t>
      </w:r>
    </w:p>
    <w:p w:rsidR="00F51C4D" w:rsidRDefault="00F51C4D" w:rsidP="00F51C4D">
      <w:pPr>
        <w:spacing w:before="0" w:after="0"/>
      </w:pPr>
    </w:p>
    <w:p w:rsidR="00F51C4D" w:rsidRDefault="00F51C4D" w:rsidP="00F51C4D">
      <w:pPr>
        <w:pStyle w:val="Heading3"/>
        <w:keepNext w:val="0"/>
        <w:keepLines w:val="0"/>
        <w:numPr>
          <w:ilvl w:val="2"/>
          <w:numId w:val="2"/>
        </w:numPr>
        <w:spacing w:before="0" w:after="0"/>
        <w:ind w:left="709" w:hanging="709"/>
        <w:contextualSpacing/>
      </w:pPr>
      <w:r>
        <w:t xml:space="preserve">School census data: there has been a constant increase in the representation of BME groups amongst pupils; the largest groups are Black African, </w:t>
      </w:r>
      <w:proofErr w:type="gramStart"/>
      <w:r>
        <w:t>Mixed</w:t>
      </w:r>
      <w:proofErr w:type="gramEnd"/>
      <w:r>
        <w:t xml:space="preserve"> and White Other. There is a consistently higher than average proportion of BME groups in nursery and reception.</w:t>
      </w:r>
    </w:p>
    <w:p w:rsidR="00F51C4D" w:rsidRDefault="00F51C4D" w:rsidP="00F51C4D">
      <w:pPr>
        <w:spacing w:before="0" w:after="0"/>
      </w:pPr>
    </w:p>
    <w:p w:rsidR="00F51C4D" w:rsidRDefault="00F51C4D" w:rsidP="00F51C4D">
      <w:pPr>
        <w:pStyle w:val="Heading3"/>
        <w:keepNext w:val="0"/>
        <w:keepLines w:val="0"/>
        <w:numPr>
          <w:ilvl w:val="2"/>
          <w:numId w:val="2"/>
        </w:numPr>
        <w:spacing w:before="0" w:after="0"/>
        <w:ind w:left="709" w:hanging="709"/>
        <w:contextualSpacing/>
      </w:pPr>
      <w:r>
        <w:rPr>
          <w:b/>
        </w:rPr>
        <w:t>Language</w:t>
      </w:r>
      <w:r>
        <w:t xml:space="preserve">: </w:t>
      </w:r>
    </w:p>
    <w:p w:rsidR="00F51C4D" w:rsidRDefault="00F51C4D" w:rsidP="00F51C4D">
      <w:pPr>
        <w:spacing w:before="0" w:after="0"/>
      </w:pPr>
    </w:p>
    <w:p w:rsidR="00F51C4D" w:rsidRDefault="00F51C4D" w:rsidP="00F51C4D">
      <w:pPr>
        <w:pStyle w:val="ListParagraph"/>
        <w:numPr>
          <w:ilvl w:val="0"/>
          <w:numId w:val="14"/>
        </w:numPr>
        <w:tabs>
          <w:tab w:val="left" w:pos="993"/>
        </w:tabs>
        <w:spacing w:before="0" w:after="0"/>
        <w:ind w:left="993" w:hanging="284"/>
      </w:pPr>
      <w:r>
        <w:t>10.6% of households have at least one person whose main language is not English</w:t>
      </w:r>
    </w:p>
    <w:p w:rsidR="00F51C4D" w:rsidRDefault="00F51C4D" w:rsidP="00F51C4D">
      <w:pPr>
        <w:pStyle w:val="ListParagraph"/>
        <w:numPr>
          <w:ilvl w:val="0"/>
          <w:numId w:val="14"/>
        </w:numPr>
        <w:tabs>
          <w:tab w:val="left" w:pos="1134"/>
        </w:tabs>
        <w:spacing w:before="0" w:after="0"/>
        <w:ind w:left="993" w:hanging="284"/>
      </w:pPr>
      <w:r>
        <w:t>109 languages are reported to be spoken as first languages</w:t>
      </w:r>
    </w:p>
    <w:p w:rsidR="00F51C4D" w:rsidRDefault="00F51C4D" w:rsidP="00F51C4D">
      <w:pPr>
        <w:pStyle w:val="ListParagraph"/>
        <w:numPr>
          <w:ilvl w:val="0"/>
          <w:numId w:val="14"/>
        </w:numPr>
        <w:tabs>
          <w:tab w:val="left" w:pos="1134"/>
        </w:tabs>
        <w:spacing w:before="0" w:after="0"/>
        <w:ind w:left="993" w:hanging="284"/>
      </w:pPr>
      <w:r>
        <w:lastRenderedPageBreak/>
        <w:t>142 languages are reported to be spoken in Milton Keynes</w:t>
      </w:r>
    </w:p>
    <w:p w:rsidR="00F51C4D" w:rsidRDefault="00F51C4D" w:rsidP="00F51C4D">
      <w:pPr>
        <w:pStyle w:val="ListParagraph"/>
        <w:numPr>
          <w:ilvl w:val="0"/>
          <w:numId w:val="14"/>
        </w:numPr>
        <w:tabs>
          <w:tab w:val="left" w:pos="1134"/>
        </w:tabs>
        <w:spacing w:before="0" w:after="0"/>
        <w:ind w:left="993" w:hanging="284"/>
      </w:pPr>
      <w:r>
        <w:t>In 1,255 households (</w:t>
      </w:r>
      <w:proofErr w:type="gramStart"/>
      <w:r>
        <w:t>1.3%)</w:t>
      </w:r>
      <w:proofErr w:type="gramEnd"/>
      <w:r>
        <w:t xml:space="preserve"> no person aged 16 and over in a household, but at least one person aged 3-15 has English as a main language.</w:t>
      </w:r>
    </w:p>
    <w:p w:rsidR="00F51C4D" w:rsidRDefault="00F51C4D" w:rsidP="00F51C4D">
      <w:pPr>
        <w:pStyle w:val="Heading3"/>
        <w:numPr>
          <w:ilvl w:val="2"/>
          <w:numId w:val="2"/>
        </w:numPr>
      </w:pPr>
      <w:r>
        <w:rPr>
          <w:b/>
        </w:rPr>
        <w:t>Religion</w:t>
      </w:r>
      <w:r>
        <w:t>:</w:t>
      </w:r>
    </w:p>
    <w:p w:rsidR="00F51C4D" w:rsidRDefault="00F51C4D" w:rsidP="00F51C4D">
      <w:pPr>
        <w:pStyle w:val="ListParagraph"/>
        <w:numPr>
          <w:ilvl w:val="0"/>
          <w:numId w:val="16"/>
        </w:numPr>
        <w:tabs>
          <w:tab w:val="left" w:pos="993"/>
        </w:tabs>
        <w:spacing w:before="0" w:after="0"/>
        <w:ind w:left="993" w:hanging="284"/>
      </w:pPr>
      <w:proofErr w:type="gramStart"/>
      <w:r>
        <w:t>52.8%</w:t>
      </w:r>
      <w:proofErr w:type="gramEnd"/>
      <w:r>
        <w:t xml:space="preserve"> stated their religion was Christian, compared to 59.4% in England (2011 census); (2001 census results showed Milton Keynes at 65% and England at 71.7%). </w:t>
      </w:r>
    </w:p>
    <w:p w:rsidR="00F51C4D" w:rsidRDefault="00F51C4D" w:rsidP="00F51C4D">
      <w:pPr>
        <w:spacing w:before="0" w:after="0"/>
      </w:pPr>
    </w:p>
    <w:p w:rsidR="00F51C4D" w:rsidRDefault="00F51C4D" w:rsidP="00F51C4D">
      <w:pPr>
        <w:pStyle w:val="Heading2"/>
        <w:numPr>
          <w:ilvl w:val="1"/>
          <w:numId w:val="2"/>
        </w:numPr>
      </w:pPr>
      <w:r>
        <w:t>Trends for ethnic diversity in Milton Keynes (Census data)</w:t>
      </w:r>
    </w:p>
    <w:p w:rsidR="00F51C4D" w:rsidRDefault="00F51C4D" w:rsidP="00F51C4D">
      <w:pPr>
        <w:pStyle w:val="Heading3"/>
        <w:numPr>
          <w:ilvl w:val="2"/>
          <w:numId w:val="2"/>
        </w:numPr>
      </w:pPr>
      <w:r>
        <w:t>Key headline statistics in the box below show that Milton Keynes is:</w:t>
      </w:r>
    </w:p>
    <w:p w:rsidR="00F51C4D" w:rsidRDefault="00F51C4D" w:rsidP="00F51C4D">
      <w:pPr>
        <w:pStyle w:val="Heading3"/>
        <w:keepNext w:val="0"/>
        <w:keepLines w:val="0"/>
        <w:numPr>
          <w:ilvl w:val="0"/>
          <w:numId w:val="16"/>
        </w:numPr>
        <w:spacing w:before="0" w:after="0"/>
        <w:ind w:left="993" w:hanging="284"/>
        <w:contextualSpacing/>
      </w:pPr>
      <w:r>
        <w:t>Increasingly becoming ethnically diverse, growing from 13% in 2001 to 26% in 2011, consistently above the England average</w:t>
      </w:r>
    </w:p>
    <w:p w:rsidR="00F51C4D" w:rsidRDefault="00F51C4D" w:rsidP="00F51C4D">
      <w:pPr>
        <w:pStyle w:val="ListParagraph"/>
        <w:numPr>
          <w:ilvl w:val="0"/>
          <w:numId w:val="16"/>
        </w:numPr>
        <w:spacing w:before="0" w:after="0"/>
        <w:ind w:left="993" w:hanging="284"/>
      </w:pPr>
      <w:r>
        <w:t>Largest groups represented are Black African; White other, Mixed and Indian</w:t>
      </w:r>
    </w:p>
    <w:p w:rsidR="00F51C4D" w:rsidRDefault="00F51C4D" w:rsidP="00F51C4D">
      <w:pPr>
        <w:pStyle w:val="ListParagraph"/>
        <w:numPr>
          <w:ilvl w:val="0"/>
          <w:numId w:val="16"/>
        </w:numPr>
        <w:spacing w:before="0" w:after="0"/>
        <w:ind w:left="993" w:hanging="284"/>
      </w:pPr>
      <w:r>
        <w:t>There is a corresponding growth in BME groups and a decline in White British.</w:t>
      </w:r>
    </w:p>
    <w:p w:rsidR="00F51C4D" w:rsidRDefault="00F51C4D" w:rsidP="00F51C4D">
      <w:pPr>
        <w:spacing w:before="0" w:after="0"/>
      </w:pPr>
    </w:p>
    <w:tbl>
      <w:tblPr>
        <w:tblStyle w:val="TableGrid"/>
        <w:tblW w:w="0" w:type="auto"/>
        <w:tblInd w:w="709" w:type="dxa"/>
        <w:tblBorders>
          <w:insideH w:val="none" w:sz="0" w:space="0" w:color="auto"/>
          <w:insideV w:val="none" w:sz="0" w:space="0" w:color="auto"/>
        </w:tblBorders>
        <w:shd w:val="pct15" w:color="auto" w:fill="auto"/>
        <w:tblLook w:val="04A0" w:firstRow="1" w:lastRow="0" w:firstColumn="1" w:lastColumn="0" w:noHBand="0" w:noVBand="1"/>
      </w:tblPr>
      <w:tblGrid>
        <w:gridCol w:w="4250"/>
        <w:gridCol w:w="4283"/>
      </w:tblGrid>
      <w:tr w:rsidR="00F51C4D" w:rsidTr="00F51C4D">
        <w:tc>
          <w:tcPr>
            <w:tcW w:w="4420" w:type="dxa"/>
            <w:tcBorders>
              <w:top w:val="single" w:sz="4" w:space="0" w:color="auto"/>
              <w:left w:val="single" w:sz="4" w:space="0" w:color="auto"/>
              <w:bottom w:val="nil"/>
              <w:right w:val="nil"/>
            </w:tcBorders>
            <w:shd w:val="pct15" w:color="auto" w:fill="auto"/>
          </w:tcPr>
          <w:p w:rsidR="00F51C4D" w:rsidRDefault="00F51C4D">
            <w:pPr>
              <w:spacing w:before="0" w:after="0"/>
              <w:ind w:left="0"/>
              <w:rPr>
                <w:b/>
                <w:lang w:eastAsia="en-GB"/>
              </w:rPr>
            </w:pPr>
          </w:p>
          <w:p w:rsidR="00F51C4D" w:rsidRDefault="00F51C4D">
            <w:pPr>
              <w:spacing w:before="0" w:after="0"/>
              <w:ind w:left="0"/>
              <w:rPr>
                <w:b/>
                <w:lang w:eastAsia="en-GB"/>
              </w:rPr>
            </w:pPr>
            <w:r>
              <w:rPr>
                <w:b/>
                <w:lang w:eastAsia="en-GB"/>
              </w:rPr>
              <w:t>Census 2001</w:t>
            </w:r>
          </w:p>
        </w:tc>
        <w:tc>
          <w:tcPr>
            <w:tcW w:w="4421" w:type="dxa"/>
            <w:tcBorders>
              <w:top w:val="single" w:sz="4" w:space="0" w:color="auto"/>
              <w:left w:val="nil"/>
              <w:bottom w:val="nil"/>
              <w:right w:val="single" w:sz="4" w:space="0" w:color="auto"/>
            </w:tcBorders>
            <w:shd w:val="pct15" w:color="auto" w:fill="auto"/>
          </w:tcPr>
          <w:p w:rsidR="00F51C4D" w:rsidRDefault="00F51C4D">
            <w:pPr>
              <w:spacing w:before="0" w:after="0"/>
              <w:ind w:left="0"/>
              <w:rPr>
                <w:b/>
                <w:lang w:eastAsia="en-GB"/>
              </w:rPr>
            </w:pPr>
          </w:p>
          <w:p w:rsidR="00F51C4D" w:rsidRDefault="00F51C4D">
            <w:pPr>
              <w:spacing w:before="0" w:after="0"/>
              <w:ind w:left="0"/>
              <w:rPr>
                <w:b/>
                <w:lang w:eastAsia="en-GB"/>
              </w:rPr>
            </w:pPr>
            <w:r>
              <w:rPr>
                <w:b/>
                <w:lang w:eastAsia="en-GB"/>
              </w:rPr>
              <w:t>Census 2011</w:t>
            </w:r>
          </w:p>
          <w:p w:rsidR="00F51C4D" w:rsidRDefault="00F51C4D">
            <w:pPr>
              <w:spacing w:before="0" w:after="0"/>
              <w:ind w:left="0"/>
              <w:rPr>
                <w:b/>
                <w:lang w:eastAsia="en-GB"/>
              </w:rPr>
            </w:pPr>
          </w:p>
        </w:tc>
      </w:tr>
      <w:tr w:rsidR="00F51C4D" w:rsidTr="00F51C4D">
        <w:tc>
          <w:tcPr>
            <w:tcW w:w="4420" w:type="dxa"/>
            <w:tcBorders>
              <w:top w:val="nil"/>
              <w:left w:val="single" w:sz="4" w:space="0" w:color="auto"/>
              <w:bottom w:val="nil"/>
              <w:right w:val="nil"/>
            </w:tcBorders>
            <w:shd w:val="pct15" w:color="auto" w:fill="auto"/>
          </w:tcPr>
          <w:p w:rsidR="00F51C4D" w:rsidRDefault="00F51C4D">
            <w:pPr>
              <w:spacing w:before="0" w:after="0"/>
              <w:ind w:left="284" w:hanging="284"/>
              <w:rPr>
                <w:lang w:eastAsia="en-GB"/>
              </w:rPr>
            </w:pPr>
            <w:r>
              <w:rPr>
                <w:lang w:eastAsia="en-GB"/>
              </w:rPr>
              <w:t>•</w:t>
            </w:r>
            <w:r>
              <w:rPr>
                <w:lang w:eastAsia="en-GB"/>
              </w:rPr>
              <w:tab/>
              <w:t>13% of the Milton Keynes population were from a BME ethnic group, compared to 13% in England.</w:t>
            </w:r>
          </w:p>
          <w:p w:rsidR="00F51C4D" w:rsidRDefault="00F51C4D">
            <w:pPr>
              <w:spacing w:before="0" w:after="0"/>
              <w:ind w:left="284" w:hanging="284"/>
              <w:rPr>
                <w:lang w:eastAsia="en-GB"/>
              </w:rPr>
            </w:pPr>
          </w:p>
        </w:tc>
        <w:tc>
          <w:tcPr>
            <w:tcW w:w="4421" w:type="dxa"/>
            <w:tcBorders>
              <w:top w:val="nil"/>
              <w:left w:val="nil"/>
              <w:bottom w:val="nil"/>
              <w:right w:val="single" w:sz="4" w:space="0" w:color="auto"/>
            </w:tcBorders>
            <w:shd w:val="pct15" w:color="auto" w:fill="auto"/>
            <w:hideMark/>
          </w:tcPr>
          <w:p w:rsidR="00F51C4D" w:rsidRDefault="00F51C4D">
            <w:pPr>
              <w:spacing w:before="0" w:after="0"/>
              <w:ind w:left="319" w:hanging="319"/>
              <w:rPr>
                <w:lang w:eastAsia="en-GB"/>
              </w:rPr>
            </w:pPr>
            <w:r>
              <w:rPr>
                <w:lang w:eastAsia="en-GB"/>
              </w:rPr>
              <w:t>•</w:t>
            </w:r>
            <w:r>
              <w:rPr>
                <w:lang w:eastAsia="en-GB"/>
              </w:rPr>
              <w:tab/>
              <w:t>26% of the Milton Keynes population are from a BME ethnic group, compared to 18.9% in England.</w:t>
            </w:r>
          </w:p>
        </w:tc>
      </w:tr>
      <w:tr w:rsidR="00F51C4D" w:rsidTr="00F51C4D">
        <w:tc>
          <w:tcPr>
            <w:tcW w:w="4420" w:type="dxa"/>
            <w:tcBorders>
              <w:top w:val="nil"/>
              <w:left w:val="single" w:sz="4" w:space="0" w:color="auto"/>
              <w:bottom w:val="single" w:sz="4" w:space="0" w:color="auto"/>
              <w:right w:val="nil"/>
            </w:tcBorders>
            <w:shd w:val="pct15" w:color="auto" w:fill="auto"/>
          </w:tcPr>
          <w:p w:rsidR="00F51C4D" w:rsidRDefault="00F51C4D">
            <w:pPr>
              <w:spacing w:before="0" w:after="0"/>
              <w:ind w:left="284" w:hanging="284"/>
              <w:rPr>
                <w:lang w:eastAsia="en-GB"/>
              </w:rPr>
            </w:pPr>
            <w:r>
              <w:rPr>
                <w:lang w:eastAsia="en-GB"/>
              </w:rPr>
              <w:t>Largest groups represented were:</w:t>
            </w:r>
          </w:p>
          <w:p w:rsidR="00F51C4D" w:rsidRDefault="00F51C4D">
            <w:pPr>
              <w:spacing w:before="0" w:after="0"/>
              <w:ind w:left="284" w:hanging="284"/>
              <w:rPr>
                <w:lang w:eastAsia="en-GB"/>
              </w:rPr>
            </w:pPr>
          </w:p>
          <w:p w:rsidR="00F51C4D" w:rsidRDefault="00F51C4D">
            <w:pPr>
              <w:spacing w:before="0" w:after="0"/>
              <w:ind w:left="284" w:hanging="284"/>
              <w:rPr>
                <w:lang w:eastAsia="en-GB"/>
              </w:rPr>
            </w:pPr>
            <w:r>
              <w:rPr>
                <w:lang w:eastAsia="en-GB"/>
              </w:rPr>
              <w:t>•</w:t>
            </w:r>
            <w:r>
              <w:rPr>
                <w:lang w:eastAsia="en-GB"/>
              </w:rPr>
              <w:tab/>
              <w:t>Black African: 1.3% in Milton Keynes</w:t>
            </w:r>
          </w:p>
          <w:p w:rsidR="00F51C4D" w:rsidRDefault="00F51C4D">
            <w:pPr>
              <w:spacing w:before="0" w:after="0"/>
              <w:ind w:left="284" w:hanging="284"/>
              <w:rPr>
                <w:lang w:eastAsia="en-GB"/>
              </w:rPr>
            </w:pPr>
          </w:p>
          <w:p w:rsidR="00F51C4D" w:rsidRDefault="00F51C4D">
            <w:pPr>
              <w:spacing w:before="0" w:after="0"/>
              <w:ind w:left="284" w:hanging="284"/>
              <w:rPr>
                <w:lang w:eastAsia="en-GB"/>
              </w:rPr>
            </w:pPr>
            <w:r>
              <w:rPr>
                <w:lang w:eastAsia="en-GB"/>
              </w:rPr>
              <w:t>•</w:t>
            </w:r>
            <w:r>
              <w:rPr>
                <w:lang w:eastAsia="en-GB"/>
              </w:rPr>
              <w:tab/>
              <w:t>White other: 2.5% in Milton Keynes</w:t>
            </w:r>
          </w:p>
          <w:p w:rsidR="00F51C4D" w:rsidRDefault="00F51C4D">
            <w:pPr>
              <w:spacing w:before="0" w:after="0"/>
              <w:ind w:left="284" w:hanging="284"/>
              <w:rPr>
                <w:lang w:eastAsia="en-GB"/>
              </w:rPr>
            </w:pPr>
          </w:p>
          <w:p w:rsidR="00F51C4D" w:rsidRDefault="00F51C4D">
            <w:pPr>
              <w:spacing w:before="0" w:after="0"/>
              <w:ind w:left="284" w:hanging="284"/>
              <w:rPr>
                <w:lang w:eastAsia="en-GB"/>
              </w:rPr>
            </w:pPr>
            <w:r>
              <w:rPr>
                <w:lang w:eastAsia="en-GB"/>
              </w:rPr>
              <w:t>•</w:t>
            </w:r>
            <w:r>
              <w:rPr>
                <w:lang w:eastAsia="en-GB"/>
              </w:rPr>
              <w:tab/>
              <w:t>Indian: 1.9% in Milton Keynes</w:t>
            </w:r>
          </w:p>
          <w:p w:rsidR="00F51C4D" w:rsidRDefault="00F51C4D">
            <w:pPr>
              <w:spacing w:before="0" w:after="0"/>
              <w:ind w:left="284" w:hanging="284"/>
              <w:rPr>
                <w:lang w:eastAsia="en-GB"/>
              </w:rPr>
            </w:pPr>
          </w:p>
          <w:p w:rsidR="00F51C4D" w:rsidRDefault="00F51C4D">
            <w:pPr>
              <w:spacing w:before="0" w:after="0"/>
              <w:ind w:left="284" w:hanging="284"/>
              <w:rPr>
                <w:lang w:eastAsia="en-GB"/>
              </w:rPr>
            </w:pPr>
            <w:r>
              <w:rPr>
                <w:lang w:eastAsia="en-GB"/>
              </w:rPr>
              <w:t>•</w:t>
            </w:r>
            <w:r>
              <w:rPr>
                <w:lang w:eastAsia="en-GB"/>
              </w:rPr>
              <w:tab/>
              <w:t>Pakistani: 0.8%.</w:t>
            </w:r>
          </w:p>
          <w:p w:rsidR="00F51C4D" w:rsidRDefault="00F51C4D">
            <w:pPr>
              <w:spacing w:before="0" w:after="0"/>
              <w:ind w:left="284" w:hanging="284"/>
              <w:rPr>
                <w:lang w:eastAsia="en-GB"/>
              </w:rPr>
            </w:pPr>
          </w:p>
        </w:tc>
        <w:tc>
          <w:tcPr>
            <w:tcW w:w="4421" w:type="dxa"/>
            <w:tcBorders>
              <w:top w:val="nil"/>
              <w:left w:val="nil"/>
              <w:bottom w:val="single" w:sz="4" w:space="0" w:color="auto"/>
              <w:right w:val="single" w:sz="4" w:space="0" w:color="auto"/>
            </w:tcBorders>
            <w:shd w:val="pct15" w:color="auto" w:fill="auto"/>
          </w:tcPr>
          <w:p w:rsidR="00F51C4D" w:rsidRDefault="00F51C4D">
            <w:pPr>
              <w:spacing w:before="0" w:after="0"/>
              <w:ind w:left="0"/>
              <w:rPr>
                <w:lang w:eastAsia="en-GB"/>
              </w:rPr>
            </w:pPr>
            <w:r>
              <w:rPr>
                <w:lang w:eastAsia="en-GB"/>
              </w:rPr>
              <w:t>Largest groups represented were:</w:t>
            </w:r>
          </w:p>
          <w:p w:rsidR="00F51C4D" w:rsidRDefault="00F51C4D">
            <w:pPr>
              <w:spacing w:before="0" w:after="0"/>
              <w:ind w:left="0"/>
              <w:rPr>
                <w:lang w:eastAsia="en-GB"/>
              </w:rPr>
            </w:pPr>
          </w:p>
          <w:p w:rsidR="00F51C4D" w:rsidRDefault="00F51C4D">
            <w:pPr>
              <w:spacing w:before="0" w:after="0"/>
              <w:ind w:left="392" w:hanging="389"/>
              <w:rPr>
                <w:lang w:eastAsia="en-GB"/>
              </w:rPr>
            </w:pPr>
            <w:r>
              <w:rPr>
                <w:lang w:eastAsia="en-GB"/>
              </w:rPr>
              <w:t>•</w:t>
            </w:r>
            <w:r>
              <w:rPr>
                <w:lang w:eastAsia="en-GB"/>
              </w:rPr>
              <w:tab/>
              <w:t>Black African: 5.2% in Milton Keynes compared to 1.8% England average</w:t>
            </w:r>
          </w:p>
          <w:p w:rsidR="00F51C4D" w:rsidRDefault="00F51C4D">
            <w:pPr>
              <w:spacing w:before="0" w:after="0"/>
              <w:ind w:left="392" w:hanging="389"/>
              <w:rPr>
                <w:lang w:eastAsia="en-GB"/>
              </w:rPr>
            </w:pPr>
          </w:p>
          <w:p w:rsidR="00F51C4D" w:rsidRDefault="00F51C4D">
            <w:pPr>
              <w:spacing w:before="0" w:after="0"/>
              <w:ind w:left="392" w:hanging="389"/>
              <w:rPr>
                <w:lang w:eastAsia="en-GB"/>
              </w:rPr>
            </w:pPr>
            <w:r>
              <w:rPr>
                <w:lang w:eastAsia="en-GB"/>
              </w:rPr>
              <w:t>•</w:t>
            </w:r>
            <w:r>
              <w:rPr>
                <w:lang w:eastAsia="en-GB"/>
              </w:rPr>
              <w:tab/>
              <w:t>White other: 5.1% in Milton Keynes compared to 4.6% England average</w:t>
            </w:r>
          </w:p>
          <w:p w:rsidR="00F51C4D" w:rsidRDefault="00F51C4D">
            <w:pPr>
              <w:spacing w:before="0" w:after="0"/>
              <w:ind w:left="392" w:hanging="389"/>
              <w:rPr>
                <w:lang w:eastAsia="en-GB"/>
              </w:rPr>
            </w:pPr>
          </w:p>
          <w:p w:rsidR="00F51C4D" w:rsidRDefault="00F51C4D">
            <w:pPr>
              <w:spacing w:before="0" w:after="0"/>
              <w:ind w:left="392" w:hanging="389"/>
              <w:rPr>
                <w:lang w:eastAsia="en-GB"/>
              </w:rPr>
            </w:pPr>
            <w:r>
              <w:rPr>
                <w:lang w:eastAsia="en-GB"/>
              </w:rPr>
              <w:t>•</w:t>
            </w:r>
            <w:r>
              <w:rPr>
                <w:lang w:eastAsia="en-GB"/>
              </w:rPr>
              <w:tab/>
              <w:t>Mixed/multiple ethnic groups and Indian both represented 3.3%</w:t>
            </w:r>
          </w:p>
          <w:p w:rsidR="00F51C4D" w:rsidRDefault="00F51C4D">
            <w:pPr>
              <w:spacing w:before="0" w:after="0"/>
              <w:ind w:left="392" w:hanging="389"/>
              <w:rPr>
                <w:lang w:eastAsia="en-GB"/>
              </w:rPr>
            </w:pPr>
          </w:p>
          <w:p w:rsidR="00F51C4D" w:rsidRDefault="00F51C4D">
            <w:pPr>
              <w:spacing w:before="0" w:after="0"/>
              <w:ind w:left="392" w:hanging="389"/>
              <w:rPr>
                <w:lang w:eastAsia="en-GB"/>
              </w:rPr>
            </w:pPr>
            <w:r>
              <w:rPr>
                <w:lang w:eastAsia="en-GB"/>
              </w:rPr>
              <w:t>•</w:t>
            </w:r>
            <w:r>
              <w:rPr>
                <w:lang w:eastAsia="en-GB"/>
              </w:rPr>
              <w:tab/>
              <w:t>Pakistani: 2.5%</w:t>
            </w:r>
          </w:p>
          <w:p w:rsidR="00F51C4D" w:rsidRDefault="00F51C4D">
            <w:pPr>
              <w:spacing w:before="0" w:after="0"/>
              <w:ind w:left="392" w:hanging="389"/>
              <w:rPr>
                <w:lang w:eastAsia="en-GB"/>
              </w:rPr>
            </w:pPr>
          </w:p>
          <w:p w:rsidR="00F51C4D" w:rsidRDefault="00F51C4D">
            <w:pPr>
              <w:spacing w:before="0" w:after="0"/>
              <w:ind w:left="366" w:hanging="366"/>
              <w:rPr>
                <w:lang w:eastAsia="en-GB"/>
              </w:rPr>
            </w:pPr>
            <w:r>
              <w:rPr>
                <w:lang w:eastAsia="en-GB"/>
              </w:rPr>
              <w:t>•     White British declined to 73.9%.</w:t>
            </w:r>
          </w:p>
          <w:p w:rsidR="00F51C4D" w:rsidRDefault="00F51C4D">
            <w:pPr>
              <w:spacing w:before="0" w:after="0"/>
              <w:ind w:left="366" w:hanging="366"/>
              <w:rPr>
                <w:lang w:eastAsia="en-GB"/>
              </w:rPr>
            </w:pPr>
          </w:p>
        </w:tc>
      </w:tr>
    </w:tbl>
    <w:p w:rsidR="00F51C4D" w:rsidRDefault="00F51C4D" w:rsidP="00F51C4D">
      <w:pPr>
        <w:spacing w:before="0" w:after="0"/>
      </w:pPr>
    </w:p>
    <w:p w:rsidR="00F51C4D" w:rsidRDefault="00F51C4D" w:rsidP="00F51C4D">
      <w:pPr>
        <w:pStyle w:val="Heading3"/>
        <w:numPr>
          <w:ilvl w:val="2"/>
          <w:numId w:val="2"/>
        </w:numPr>
      </w:pPr>
      <w:r>
        <w:t>The table below shows the number and percentage per ethnic group in Milton Keynes, compared with the percentage in England.</w:t>
      </w:r>
    </w:p>
    <w:p w:rsidR="00F51C4D" w:rsidRDefault="00F51C4D" w:rsidP="00F51C4D">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701"/>
        <w:gridCol w:w="1702"/>
        <w:gridCol w:w="2131"/>
      </w:tblGrid>
      <w:tr w:rsidR="00F51C4D" w:rsidTr="00F51C4D">
        <w:trPr>
          <w:tblHeader/>
        </w:trPr>
        <w:tc>
          <w:tcPr>
            <w:tcW w:w="298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left="0"/>
              <w:jc w:val="left"/>
            </w:pPr>
            <w:r>
              <w:lastRenderedPageBreak/>
              <w:t>Ethnic Group</w:t>
            </w:r>
          </w:p>
        </w:tc>
        <w:tc>
          <w:tcPr>
            <w:tcW w:w="34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left="0"/>
              <w:jc w:val="center"/>
            </w:pPr>
            <w:r>
              <w:t>Milton Keynes</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left="0"/>
              <w:jc w:val="center"/>
            </w:pPr>
            <w:r>
              <w:t>England</w:t>
            </w:r>
          </w:p>
        </w:tc>
      </w:tr>
      <w:tr w:rsidR="00F51C4D" w:rsidTr="00F51C4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C4D" w:rsidRDefault="00F51C4D">
            <w:pPr>
              <w:spacing w:before="0" w:after="0"/>
              <w:ind w:left="0"/>
              <w:jc w:val="left"/>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left="0"/>
              <w:jc w:val="center"/>
            </w:pPr>
            <w:r>
              <w:t>Persons</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left="0"/>
              <w:jc w:val="center"/>
            </w:pPr>
            <w:r>
              <w:t>Percentage</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left="0"/>
              <w:jc w:val="center"/>
            </w:pPr>
            <w:r>
              <w:t>Percentage</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White: British</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183,934</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73.9</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79.8</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White: Irish</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2,498</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1.0</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1.0</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White: Gypsy or Irish Traveller</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72</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0.0</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0.1</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White: Other White</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12,590</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5.1</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4.6</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Mixed/multiple ethnic groups</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8,235</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3.3</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2.2</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Asian/Asian British: Indian</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8,106</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3.3</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2.6</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Asian/Asian British: Pakistani</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3,851</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1.5</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2.1</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Asian/Asian British: Bangladeshi</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1,989</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0.8</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0.8</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Asian/Asian British: Chinese</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2,722</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1.1</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0.7</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Asian/Asian British: Other Asian</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6,114</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2.5</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1.5</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Black/Black British: African</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13,058</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5.2</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1.8</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Black/Black British: Caribbean</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2,524</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1.0</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1.1</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Black/Black British: Other Black</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1,549</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0.6</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0.5</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Other Ethnic Group: Arab</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565</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0.2</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0.4</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Other ethnic group</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1,014</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0.4</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0.6</w:t>
            </w:r>
          </w:p>
        </w:tc>
      </w:tr>
      <w:tr w:rsidR="00F51C4D" w:rsidTr="00F51C4D">
        <w:tc>
          <w:tcPr>
            <w:tcW w:w="298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left"/>
            </w:pPr>
            <w:r>
              <w:t>All usual residents</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248,821</w:t>
            </w:r>
          </w:p>
        </w:tc>
        <w:tc>
          <w:tcPr>
            <w:tcW w:w="170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100.0</w:t>
            </w:r>
          </w:p>
        </w:tc>
        <w:tc>
          <w:tcPr>
            <w:tcW w:w="213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100.0</w:t>
            </w:r>
          </w:p>
        </w:tc>
      </w:tr>
    </w:tbl>
    <w:p w:rsidR="00F51C4D" w:rsidRDefault="00F51C4D" w:rsidP="00F51C4D">
      <w:pPr>
        <w:pStyle w:val="Heading2"/>
        <w:numPr>
          <w:ilvl w:val="0"/>
          <w:numId w:val="0"/>
        </w:numPr>
        <w:ind w:left="718"/>
      </w:pPr>
    </w:p>
    <w:p w:rsidR="00F51C4D" w:rsidRDefault="00F51C4D" w:rsidP="00F51C4D">
      <w:pPr>
        <w:pStyle w:val="Heading2"/>
        <w:numPr>
          <w:ilvl w:val="1"/>
          <w:numId w:val="2"/>
        </w:numPr>
      </w:pPr>
      <w:r>
        <w:rPr>
          <w:b/>
        </w:rPr>
        <w:t>Languages in Milton Keynes</w:t>
      </w:r>
      <w:r>
        <w:rPr>
          <w:vertAlign w:val="superscript"/>
        </w:rPr>
        <w:footnoteReference w:id="7"/>
      </w:r>
    </w:p>
    <w:p w:rsidR="00F51C4D" w:rsidRDefault="00F51C4D" w:rsidP="00F51C4D">
      <w:pPr>
        <w:pStyle w:val="Heading2"/>
        <w:numPr>
          <w:ilvl w:val="0"/>
          <w:numId w:val="0"/>
        </w:numPr>
        <w:ind w:left="718"/>
      </w:pPr>
    </w:p>
    <w:p w:rsidR="00F51C4D" w:rsidRDefault="00F51C4D" w:rsidP="00F51C4D">
      <w:pPr>
        <w:pStyle w:val="Heading3"/>
        <w:keepNext w:val="0"/>
        <w:keepLines w:val="0"/>
        <w:numPr>
          <w:ilvl w:val="2"/>
          <w:numId w:val="2"/>
        </w:numPr>
        <w:spacing w:before="0" w:after="0"/>
        <w:ind w:left="709" w:hanging="709"/>
        <w:contextualSpacing/>
      </w:pPr>
      <w:r>
        <w:t>There are approximately 149 languages spoken in Milton Keynes. There are some major groups that these fall within, where there has been significant growth and change, these include:</w:t>
      </w:r>
    </w:p>
    <w:p w:rsidR="00F51C4D" w:rsidRDefault="00F51C4D" w:rsidP="00F51C4D">
      <w:pPr>
        <w:spacing w:before="0" w:after="0"/>
      </w:pPr>
    </w:p>
    <w:p w:rsidR="00F51C4D" w:rsidRDefault="00F51C4D" w:rsidP="00F51C4D">
      <w:pPr>
        <w:pStyle w:val="ListParagraph"/>
        <w:numPr>
          <w:ilvl w:val="0"/>
          <w:numId w:val="18"/>
        </w:numPr>
        <w:spacing w:before="0" w:after="0"/>
        <w:ind w:left="1134" w:hanging="425"/>
      </w:pPr>
      <w:r>
        <w:t>49 African languages are spoken in Milton Keynes, this represents approximately one third of languages</w:t>
      </w:r>
    </w:p>
    <w:p w:rsidR="00F51C4D" w:rsidRDefault="00F51C4D" w:rsidP="00F51C4D">
      <w:pPr>
        <w:pStyle w:val="ListParagraph"/>
        <w:numPr>
          <w:ilvl w:val="0"/>
          <w:numId w:val="18"/>
        </w:numPr>
        <w:spacing w:before="0" w:after="0"/>
        <w:ind w:left="1134" w:hanging="425"/>
      </w:pPr>
      <w:r>
        <w:t>17 Eastern European languages are spoken in Milton Keynes; representing 11% of languages</w:t>
      </w:r>
    </w:p>
    <w:p w:rsidR="00F51C4D" w:rsidRDefault="00F51C4D" w:rsidP="00F51C4D">
      <w:pPr>
        <w:pStyle w:val="ListParagraph"/>
        <w:numPr>
          <w:ilvl w:val="0"/>
          <w:numId w:val="18"/>
        </w:numPr>
        <w:spacing w:before="0" w:after="0"/>
        <w:ind w:left="1134" w:hanging="425"/>
      </w:pPr>
      <w:proofErr w:type="gramStart"/>
      <w:r>
        <w:t>27</w:t>
      </w:r>
      <w:proofErr w:type="gramEnd"/>
      <w:r>
        <w:t xml:space="preserve"> new Middle Eastern languages are spoken in Milton Keynes (18%)</w:t>
      </w:r>
    </w:p>
    <w:p w:rsidR="00F51C4D" w:rsidRDefault="00F51C4D" w:rsidP="00F51C4D">
      <w:pPr>
        <w:pStyle w:val="ListParagraph"/>
        <w:numPr>
          <w:ilvl w:val="0"/>
          <w:numId w:val="18"/>
        </w:numPr>
        <w:spacing w:before="0" w:after="0"/>
        <w:ind w:left="1134" w:hanging="425"/>
      </w:pPr>
      <w:proofErr w:type="gramStart"/>
      <w:r>
        <w:t>There are also a significant number of children whose language classification are pending, but believed to be other than English.</w:t>
      </w:r>
      <w:proofErr w:type="gramEnd"/>
    </w:p>
    <w:p w:rsidR="00F51C4D" w:rsidRDefault="00F51C4D" w:rsidP="00F51C4D">
      <w:pPr>
        <w:spacing w:before="0" w:after="0"/>
      </w:pPr>
    </w:p>
    <w:p w:rsidR="00F51C4D" w:rsidRDefault="00F51C4D" w:rsidP="00F51C4D">
      <w:pPr>
        <w:pStyle w:val="Heading3"/>
        <w:keepNext w:val="0"/>
        <w:keepLines w:val="0"/>
        <w:numPr>
          <w:ilvl w:val="2"/>
          <w:numId w:val="2"/>
        </w:numPr>
        <w:spacing w:before="0" w:after="0"/>
        <w:ind w:left="709" w:hanging="709"/>
        <w:contextualSpacing/>
      </w:pPr>
      <w:r>
        <w:t xml:space="preserve">It is pertinent to understand the breadth and complexity of the languages spoken in Milton Keynes, but also the different language experiences of children i.e. levels of language competency. Some children may speak a number of different languages for different circumstances/groups/events, but </w:t>
      </w:r>
      <w:r>
        <w:lastRenderedPageBreak/>
        <w:t xml:space="preserve">operate at a low level of language competency; they may understand other languages. They may also be more accomplished at a particular language, e.g. English rather than a language spoken at home with the family. </w:t>
      </w:r>
    </w:p>
    <w:p w:rsidR="00F51C4D" w:rsidRDefault="00F51C4D" w:rsidP="00F51C4D">
      <w:pPr>
        <w:spacing w:before="0" w:after="0"/>
      </w:pPr>
    </w:p>
    <w:p w:rsidR="00F51C4D" w:rsidRDefault="00F51C4D" w:rsidP="00F51C4D">
      <w:pPr>
        <w:pStyle w:val="Heading2"/>
        <w:numPr>
          <w:ilvl w:val="1"/>
          <w:numId w:val="2"/>
        </w:numPr>
      </w:pPr>
      <w:r>
        <w:rPr>
          <w:b/>
        </w:rPr>
        <w:t>BME representation amongst school pupils (School census data)</w:t>
      </w:r>
    </w:p>
    <w:p w:rsidR="00F51C4D" w:rsidRDefault="00F51C4D" w:rsidP="00F51C4D">
      <w:pPr>
        <w:pStyle w:val="Heading3"/>
        <w:numPr>
          <w:ilvl w:val="2"/>
          <w:numId w:val="2"/>
        </w:numPr>
      </w:pPr>
      <w:r>
        <w:t>The box below shows the school census 2011 – 2013, it can be seen that:</w:t>
      </w:r>
    </w:p>
    <w:p w:rsidR="00F51C4D" w:rsidRDefault="00F51C4D" w:rsidP="00F51C4D">
      <w:pPr>
        <w:pStyle w:val="ListParagraph"/>
        <w:numPr>
          <w:ilvl w:val="0"/>
          <w:numId w:val="20"/>
        </w:numPr>
        <w:spacing w:before="0" w:after="0"/>
        <w:ind w:left="1134" w:hanging="425"/>
      </w:pPr>
      <w:r>
        <w:t>There has been a constant increase in the representation of BME groups amongst pupils</w:t>
      </w:r>
    </w:p>
    <w:p w:rsidR="00F51C4D" w:rsidRDefault="00F51C4D" w:rsidP="00F51C4D">
      <w:pPr>
        <w:pStyle w:val="ListParagraph"/>
        <w:numPr>
          <w:ilvl w:val="0"/>
          <w:numId w:val="20"/>
        </w:numPr>
        <w:spacing w:before="0" w:after="0"/>
        <w:ind w:left="1134" w:hanging="425"/>
      </w:pPr>
      <w:r>
        <w:t>The largest minority ethnic groups were Black African, Mixed and White other</w:t>
      </w:r>
    </w:p>
    <w:p w:rsidR="00F51C4D" w:rsidRDefault="00F51C4D" w:rsidP="00F51C4D">
      <w:pPr>
        <w:pStyle w:val="ListParagraph"/>
        <w:numPr>
          <w:ilvl w:val="0"/>
          <w:numId w:val="20"/>
        </w:numPr>
        <w:spacing w:before="0" w:after="0"/>
        <w:ind w:left="1134" w:hanging="425"/>
      </w:pPr>
      <w:r>
        <w:t>There has consistently been a higher than average proportion of BME groups in nursery and reception classes.</w:t>
      </w:r>
    </w:p>
    <w:p w:rsidR="00F51C4D" w:rsidRDefault="00F51C4D" w:rsidP="00F51C4D">
      <w:pPr>
        <w:pStyle w:val="ListParagraph"/>
        <w:spacing w:before="0" w:after="0"/>
        <w:ind w:left="1134"/>
      </w:pPr>
    </w:p>
    <w:p w:rsidR="00F51C4D" w:rsidRDefault="00F51C4D" w:rsidP="00F51C4D">
      <w:pPr>
        <w:spacing w:before="0" w:after="0"/>
      </w:pPr>
    </w:p>
    <w:tbl>
      <w:tblPr>
        <w:tblStyle w:val="TableGrid"/>
        <w:tblW w:w="9498" w:type="dxa"/>
        <w:tblInd w:w="108" w:type="dxa"/>
        <w:tblBorders>
          <w:insideH w:val="none" w:sz="0" w:space="0" w:color="auto"/>
          <w:insideV w:val="none" w:sz="0" w:space="0" w:color="auto"/>
        </w:tblBorders>
        <w:shd w:val="pct15" w:color="auto" w:fill="auto"/>
        <w:tblLook w:val="04A0" w:firstRow="1" w:lastRow="0" w:firstColumn="1" w:lastColumn="0" w:noHBand="0" w:noVBand="1"/>
      </w:tblPr>
      <w:tblGrid>
        <w:gridCol w:w="3166"/>
        <w:gridCol w:w="3166"/>
        <w:gridCol w:w="3166"/>
      </w:tblGrid>
      <w:tr w:rsidR="00F51C4D" w:rsidTr="00F51C4D">
        <w:tc>
          <w:tcPr>
            <w:tcW w:w="3166" w:type="dxa"/>
            <w:tcBorders>
              <w:top w:val="single" w:sz="4" w:space="0" w:color="auto"/>
              <w:left w:val="single" w:sz="4" w:space="0" w:color="auto"/>
              <w:bottom w:val="nil"/>
              <w:right w:val="nil"/>
            </w:tcBorders>
            <w:shd w:val="pct15" w:color="auto" w:fill="auto"/>
          </w:tcPr>
          <w:p w:rsidR="00F51C4D" w:rsidRDefault="00F51C4D">
            <w:pPr>
              <w:spacing w:before="0" w:after="0"/>
              <w:ind w:left="0"/>
              <w:rPr>
                <w:b/>
                <w:lang w:eastAsia="en-GB"/>
              </w:rPr>
            </w:pPr>
          </w:p>
          <w:p w:rsidR="00F51C4D" w:rsidRDefault="00F51C4D">
            <w:pPr>
              <w:spacing w:before="0" w:after="0"/>
              <w:ind w:left="0"/>
              <w:rPr>
                <w:b/>
                <w:lang w:eastAsia="en-GB"/>
              </w:rPr>
            </w:pPr>
            <w:r>
              <w:rPr>
                <w:b/>
                <w:lang w:eastAsia="en-GB"/>
              </w:rPr>
              <w:t>School Census 2011</w:t>
            </w:r>
          </w:p>
          <w:p w:rsidR="00F51C4D" w:rsidRDefault="00F51C4D">
            <w:pPr>
              <w:spacing w:before="0" w:after="0"/>
              <w:ind w:left="0"/>
              <w:rPr>
                <w:b/>
                <w:lang w:eastAsia="en-GB"/>
              </w:rPr>
            </w:pPr>
          </w:p>
          <w:p w:rsidR="00F51C4D" w:rsidRDefault="00F51C4D">
            <w:pPr>
              <w:spacing w:before="0" w:after="0"/>
              <w:ind w:left="0"/>
              <w:rPr>
                <w:lang w:eastAsia="en-GB"/>
              </w:rPr>
            </w:pPr>
            <w:proofErr w:type="gramStart"/>
            <w:r>
              <w:rPr>
                <w:lang w:eastAsia="en-GB"/>
              </w:rPr>
              <w:t>Overall</w:t>
            </w:r>
            <w:proofErr w:type="gramEnd"/>
            <w:r>
              <w:rPr>
                <w:lang w:eastAsia="en-GB"/>
              </w:rPr>
              <w:t xml:space="preserve"> in Milton Keynes, BME groups represented 32.8% of pupils.</w:t>
            </w:r>
          </w:p>
          <w:p w:rsidR="00F51C4D" w:rsidRDefault="00F51C4D">
            <w:pPr>
              <w:spacing w:before="0" w:after="0"/>
              <w:ind w:left="0"/>
              <w:rPr>
                <w:lang w:eastAsia="en-GB"/>
              </w:rPr>
            </w:pPr>
          </w:p>
        </w:tc>
        <w:tc>
          <w:tcPr>
            <w:tcW w:w="3166" w:type="dxa"/>
            <w:tcBorders>
              <w:top w:val="single" w:sz="4" w:space="0" w:color="auto"/>
              <w:left w:val="nil"/>
              <w:bottom w:val="nil"/>
              <w:right w:val="nil"/>
            </w:tcBorders>
            <w:shd w:val="pct15" w:color="auto" w:fill="auto"/>
          </w:tcPr>
          <w:p w:rsidR="00F51C4D" w:rsidRDefault="00F51C4D">
            <w:pPr>
              <w:spacing w:before="0" w:after="0"/>
              <w:ind w:left="0"/>
              <w:rPr>
                <w:b/>
                <w:lang w:eastAsia="en-GB"/>
              </w:rPr>
            </w:pPr>
          </w:p>
          <w:p w:rsidR="00F51C4D" w:rsidRDefault="00F51C4D">
            <w:pPr>
              <w:spacing w:before="0" w:after="0"/>
              <w:ind w:left="0"/>
              <w:rPr>
                <w:b/>
                <w:lang w:eastAsia="en-GB"/>
              </w:rPr>
            </w:pPr>
            <w:r>
              <w:rPr>
                <w:b/>
                <w:lang w:eastAsia="en-GB"/>
              </w:rPr>
              <w:t>School Census 2012</w:t>
            </w:r>
          </w:p>
          <w:p w:rsidR="00F51C4D" w:rsidRDefault="00F51C4D">
            <w:pPr>
              <w:spacing w:before="0" w:after="0"/>
              <w:ind w:left="0"/>
              <w:rPr>
                <w:b/>
                <w:lang w:eastAsia="en-GB"/>
              </w:rPr>
            </w:pPr>
          </w:p>
          <w:p w:rsidR="00F51C4D" w:rsidRDefault="00F51C4D">
            <w:pPr>
              <w:spacing w:before="0" w:after="0"/>
              <w:ind w:left="0"/>
              <w:rPr>
                <w:lang w:eastAsia="en-GB"/>
              </w:rPr>
            </w:pPr>
            <w:proofErr w:type="gramStart"/>
            <w:r>
              <w:rPr>
                <w:lang w:eastAsia="en-GB"/>
              </w:rPr>
              <w:t>Overall</w:t>
            </w:r>
            <w:proofErr w:type="gramEnd"/>
            <w:r>
              <w:rPr>
                <w:lang w:eastAsia="en-GB"/>
              </w:rPr>
              <w:t xml:space="preserve"> in Milton Keynes, BME groups represented 34.1% of pupils.</w:t>
            </w:r>
          </w:p>
        </w:tc>
        <w:tc>
          <w:tcPr>
            <w:tcW w:w="3166" w:type="dxa"/>
            <w:tcBorders>
              <w:top w:val="single" w:sz="4" w:space="0" w:color="auto"/>
              <w:left w:val="nil"/>
              <w:bottom w:val="nil"/>
              <w:right w:val="single" w:sz="4" w:space="0" w:color="auto"/>
            </w:tcBorders>
            <w:shd w:val="pct15" w:color="auto" w:fill="auto"/>
          </w:tcPr>
          <w:p w:rsidR="00F51C4D" w:rsidRDefault="00F51C4D">
            <w:pPr>
              <w:spacing w:before="0" w:after="0"/>
              <w:ind w:left="0"/>
              <w:rPr>
                <w:b/>
                <w:lang w:eastAsia="en-GB"/>
              </w:rPr>
            </w:pPr>
          </w:p>
          <w:p w:rsidR="00F51C4D" w:rsidRDefault="00F51C4D">
            <w:pPr>
              <w:spacing w:before="0" w:after="0"/>
              <w:ind w:left="0"/>
              <w:rPr>
                <w:b/>
                <w:lang w:eastAsia="en-GB"/>
              </w:rPr>
            </w:pPr>
            <w:r>
              <w:rPr>
                <w:b/>
                <w:lang w:eastAsia="en-GB"/>
              </w:rPr>
              <w:t>School Census 2013</w:t>
            </w:r>
          </w:p>
          <w:p w:rsidR="00F51C4D" w:rsidRDefault="00F51C4D">
            <w:pPr>
              <w:spacing w:before="0" w:after="0"/>
              <w:ind w:left="0"/>
              <w:rPr>
                <w:lang w:eastAsia="en-GB"/>
              </w:rPr>
            </w:pPr>
          </w:p>
          <w:p w:rsidR="00F51C4D" w:rsidRDefault="00F51C4D">
            <w:pPr>
              <w:spacing w:before="0" w:after="0"/>
              <w:ind w:left="0"/>
              <w:rPr>
                <w:lang w:eastAsia="en-GB"/>
              </w:rPr>
            </w:pPr>
            <w:proofErr w:type="gramStart"/>
            <w:r>
              <w:rPr>
                <w:lang w:eastAsia="en-GB"/>
              </w:rPr>
              <w:t>Overall</w:t>
            </w:r>
            <w:proofErr w:type="gramEnd"/>
            <w:r>
              <w:rPr>
                <w:lang w:eastAsia="en-GB"/>
              </w:rPr>
              <w:t xml:space="preserve"> in Milton Keynes, BME groups represented 35.3% of pupils.</w:t>
            </w:r>
          </w:p>
          <w:p w:rsidR="00F51C4D" w:rsidRDefault="00F51C4D">
            <w:pPr>
              <w:spacing w:before="0" w:after="0"/>
              <w:ind w:left="0"/>
              <w:rPr>
                <w:lang w:eastAsia="en-GB"/>
              </w:rPr>
            </w:pPr>
          </w:p>
        </w:tc>
      </w:tr>
      <w:tr w:rsidR="00F51C4D" w:rsidTr="00F51C4D">
        <w:tc>
          <w:tcPr>
            <w:tcW w:w="3166" w:type="dxa"/>
            <w:tcBorders>
              <w:top w:val="nil"/>
              <w:left w:val="single" w:sz="4" w:space="0" w:color="auto"/>
              <w:bottom w:val="single" w:sz="4" w:space="0" w:color="auto"/>
              <w:right w:val="nil"/>
            </w:tcBorders>
            <w:shd w:val="pct15" w:color="auto" w:fill="auto"/>
          </w:tcPr>
          <w:p w:rsidR="00F51C4D" w:rsidRDefault="00F51C4D">
            <w:pPr>
              <w:spacing w:before="0" w:after="0"/>
              <w:ind w:left="318" w:right="364" w:hanging="318"/>
              <w:rPr>
                <w:lang w:eastAsia="en-GB"/>
              </w:rPr>
            </w:pPr>
            <w:r>
              <w:rPr>
                <w:lang w:eastAsia="en-GB"/>
              </w:rPr>
              <w:t>•</w:t>
            </w:r>
            <w:r>
              <w:rPr>
                <w:lang w:eastAsia="en-GB"/>
              </w:rPr>
              <w:tab/>
              <w:t>The Black African group was the largest minority ethnic group at 8.6% of pupils</w:t>
            </w:r>
          </w:p>
          <w:p w:rsidR="00F51C4D" w:rsidRDefault="00F51C4D">
            <w:pPr>
              <w:spacing w:before="0" w:after="0"/>
              <w:ind w:left="318" w:right="364" w:hanging="318"/>
              <w:rPr>
                <w:lang w:eastAsia="en-GB"/>
              </w:rPr>
            </w:pPr>
          </w:p>
          <w:p w:rsidR="00F51C4D" w:rsidRDefault="00F51C4D">
            <w:pPr>
              <w:spacing w:before="0" w:after="0"/>
              <w:ind w:left="318" w:right="364" w:hanging="318"/>
              <w:rPr>
                <w:lang w:eastAsia="en-GB"/>
              </w:rPr>
            </w:pPr>
            <w:r>
              <w:rPr>
                <w:lang w:eastAsia="en-GB"/>
              </w:rPr>
              <w:t>•</w:t>
            </w:r>
            <w:r>
              <w:rPr>
                <w:lang w:eastAsia="en-GB"/>
              </w:rPr>
              <w:tab/>
              <w:t>Followed by Mixed group 5.8%</w:t>
            </w:r>
          </w:p>
          <w:p w:rsidR="00F51C4D" w:rsidRDefault="00F51C4D">
            <w:pPr>
              <w:spacing w:before="0" w:after="0"/>
              <w:ind w:left="318" w:right="364" w:hanging="318"/>
              <w:rPr>
                <w:lang w:eastAsia="en-GB"/>
              </w:rPr>
            </w:pPr>
          </w:p>
          <w:p w:rsidR="00F51C4D" w:rsidRDefault="00F51C4D">
            <w:pPr>
              <w:spacing w:before="0" w:after="0"/>
              <w:ind w:left="318" w:right="364" w:hanging="318"/>
              <w:rPr>
                <w:lang w:eastAsia="en-GB"/>
              </w:rPr>
            </w:pPr>
            <w:r>
              <w:rPr>
                <w:lang w:eastAsia="en-GB"/>
              </w:rPr>
              <w:t>•</w:t>
            </w:r>
            <w:r>
              <w:rPr>
                <w:lang w:eastAsia="en-GB"/>
              </w:rPr>
              <w:tab/>
              <w:t>And White other groups at 4.4%</w:t>
            </w:r>
          </w:p>
          <w:p w:rsidR="00F51C4D" w:rsidRDefault="00F51C4D">
            <w:pPr>
              <w:spacing w:before="0" w:after="0"/>
              <w:ind w:left="318" w:right="364" w:hanging="318"/>
              <w:rPr>
                <w:lang w:eastAsia="en-GB"/>
              </w:rPr>
            </w:pPr>
          </w:p>
          <w:p w:rsidR="00F51C4D" w:rsidRDefault="00F51C4D">
            <w:pPr>
              <w:spacing w:before="0" w:after="0"/>
              <w:ind w:left="318" w:right="364" w:hanging="318"/>
              <w:rPr>
                <w:lang w:eastAsia="en-GB"/>
              </w:rPr>
            </w:pPr>
            <w:r>
              <w:rPr>
                <w:lang w:eastAsia="en-GB"/>
              </w:rPr>
              <w:t>•</w:t>
            </w:r>
            <w:r>
              <w:rPr>
                <w:lang w:eastAsia="en-GB"/>
              </w:rPr>
              <w:tab/>
              <w:t>There is a higher than average proportion of minority ethnic groups in nursery and reception years accounting for 38.4% of pupils.</w:t>
            </w:r>
          </w:p>
        </w:tc>
        <w:tc>
          <w:tcPr>
            <w:tcW w:w="3166" w:type="dxa"/>
            <w:tcBorders>
              <w:top w:val="nil"/>
              <w:left w:val="nil"/>
              <w:bottom w:val="single" w:sz="4" w:space="0" w:color="auto"/>
              <w:right w:val="nil"/>
            </w:tcBorders>
            <w:shd w:val="pct15" w:color="auto" w:fill="auto"/>
          </w:tcPr>
          <w:p w:rsidR="00F51C4D" w:rsidRDefault="00F51C4D">
            <w:pPr>
              <w:spacing w:before="0" w:after="0"/>
              <w:ind w:left="412" w:right="270" w:hanging="412"/>
              <w:rPr>
                <w:lang w:eastAsia="en-GB"/>
              </w:rPr>
            </w:pPr>
            <w:r>
              <w:rPr>
                <w:lang w:eastAsia="en-GB"/>
              </w:rPr>
              <w:t>•</w:t>
            </w:r>
            <w:r>
              <w:rPr>
                <w:lang w:eastAsia="en-GB"/>
              </w:rPr>
              <w:tab/>
              <w:t>The Black African group was the largest minority ethnic group at 9.2% of pupils</w:t>
            </w:r>
          </w:p>
          <w:p w:rsidR="00F51C4D" w:rsidRDefault="00F51C4D">
            <w:pPr>
              <w:spacing w:before="0" w:after="0"/>
              <w:ind w:left="412" w:right="270" w:hanging="412"/>
              <w:rPr>
                <w:lang w:eastAsia="en-GB"/>
              </w:rPr>
            </w:pPr>
          </w:p>
          <w:p w:rsidR="00F51C4D" w:rsidRDefault="00F51C4D">
            <w:pPr>
              <w:spacing w:before="0" w:after="0"/>
              <w:ind w:left="412" w:right="270" w:hanging="412"/>
              <w:rPr>
                <w:lang w:eastAsia="en-GB"/>
              </w:rPr>
            </w:pPr>
            <w:r>
              <w:rPr>
                <w:lang w:eastAsia="en-GB"/>
              </w:rPr>
              <w:t>•</w:t>
            </w:r>
            <w:r>
              <w:rPr>
                <w:lang w:eastAsia="en-GB"/>
              </w:rPr>
              <w:tab/>
              <w:t>Followed by Mixed group at 5.9%</w:t>
            </w:r>
          </w:p>
          <w:p w:rsidR="00F51C4D" w:rsidRDefault="00F51C4D">
            <w:pPr>
              <w:spacing w:before="0" w:after="0"/>
              <w:ind w:left="412" w:right="270" w:hanging="412"/>
              <w:rPr>
                <w:lang w:eastAsia="en-GB"/>
              </w:rPr>
            </w:pPr>
          </w:p>
          <w:p w:rsidR="00F51C4D" w:rsidRDefault="00F51C4D">
            <w:pPr>
              <w:spacing w:before="0" w:after="0"/>
              <w:ind w:left="412" w:right="270" w:hanging="412"/>
              <w:rPr>
                <w:lang w:eastAsia="en-GB"/>
              </w:rPr>
            </w:pPr>
            <w:r>
              <w:rPr>
                <w:lang w:eastAsia="en-GB"/>
              </w:rPr>
              <w:t>•</w:t>
            </w:r>
            <w:r>
              <w:rPr>
                <w:lang w:eastAsia="en-GB"/>
              </w:rPr>
              <w:tab/>
              <w:t>And White other groups at 4.4%</w:t>
            </w:r>
          </w:p>
          <w:p w:rsidR="00F51C4D" w:rsidRDefault="00F51C4D">
            <w:pPr>
              <w:spacing w:before="0" w:after="0"/>
              <w:ind w:left="412" w:right="270" w:hanging="412"/>
              <w:rPr>
                <w:lang w:eastAsia="en-GB"/>
              </w:rPr>
            </w:pPr>
          </w:p>
          <w:p w:rsidR="00F51C4D" w:rsidRDefault="00F51C4D">
            <w:pPr>
              <w:spacing w:before="0" w:after="0"/>
              <w:ind w:left="412" w:right="270" w:hanging="412"/>
              <w:rPr>
                <w:lang w:eastAsia="en-GB"/>
              </w:rPr>
            </w:pPr>
            <w:r>
              <w:rPr>
                <w:lang w:eastAsia="en-GB"/>
              </w:rPr>
              <w:t>•</w:t>
            </w:r>
            <w:r>
              <w:rPr>
                <w:lang w:eastAsia="en-GB"/>
              </w:rPr>
              <w:tab/>
              <w:t>There is a higher than average proportion of minority ethnic groups in nursery and reception years accounting for 40.2% of pupils.</w:t>
            </w:r>
          </w:p>
        </w:tc>
        <w:tc>
          <w:tcPr>
            <w:tcW w:w="3166" w:type="dxa"/>
            <w:tcBorders>
              <w:top w:val="nil"/>
              <w:left w:val="nil"/>
              <w:bottom w:val="single" w:sz="4" w:space="0" w:color="auto"/>
              <w:right w:val="single" w:sz="4" w:space="0" w:color="auto"/>
            </w:tcBorders>
            <w:shd w:val="pct15" w:color="auto" w:fill="auto"/>
          </w:tcPr>
          <w:p w:rsidR="00F51C4D" w:rsidRDefault="00F51C4D">
            <w:pPr>
              <w:spacing w:before="0" w:after="0"/>
              <w:ind w:left="364" w:right="318" w:hanging="283"/>
              <w:rPr>
                <w:lang w:eastAsia="en-GB"/>
              </w:rPr>
            </w:pPr>
            <w:r>
              <w:rPr>
                <w:lang w:eastAsia="en-GB"/>
              </w:rPr>
              <w:t>•</w:t>
            </w:r>
            <w:r>
              <w:rPr>
                <w:lang w:eastAsia="en-GB"/>
              </w:rPr>
              <w:tab/>
              <w:t>The Black African group was the largest minority ethnic group at 9.6% of pupils</w:t>
            </w:r>
          </w:p>
          <w:p w:rsidR="00F51C4D" w:rsidRDefault="00F51C4D">
            <w:pPr>
              <w:spacing w:before="0" w:after="0"/>
              <w:ind w:left="364" w:right="318" w:hanging="283"/>
              <w:rPr>
                <w:lang w:eastAsia="en-GB"/>
              </w:rPr>
            </w:pPr>
          </w:p>
          <w:p w:rsidR="00F51C4D" w:rsidRDefault="00F51C4D">
            <w:pPr>
              <w:spacing w:before="0" w:after="0"/>
              <w:ind w:left="364" w:right="318" w:hanging="283"/>
              <w:rPr>
                <w:lang w:eastAsia="en-GB"/>
              </w:rPr>
            </w:pPr>
            <w:r>
              <w:rPr>
                <w:lang w:eastAsia="en-GB"/>
              </w:rPr>
              <w:t>•</w:t>
            </w:r>
            <w:r>
              <w:rPr>
                <w:lang w:eastAsia="en-GB"/>
              </w:rPr>
              <w:tab/>
              <w:t>Followed by Mixed at 6.3%</w:t>
            </w:r>
          </w:p>
          <w:p w:rsidR="00F51C4D" w:rsidRDefault="00F51C4D">
            <w:pPr>
              <w:spacing w:before="0" w:after="0"/>
              <w:ind w:left="364" w:right="318" w:hanging="283"/>
              <w:rPr>
                <w:lang w:eastAsia="en-GB"/>
              </w:rPr>
            </w:pPr>
          </w:p>
          <w:p w:rsidR="00F51C4D" w:rsidRDefault="00F51C4D">
            <w:pPr>
              <w:spacing w:before="0" w:after="0"/>
              <w:ind w:left="364" w:right="318" w:hanging="283"/>
              <w:rPr>
                <w:lang w:eastAsia="en-GB"/>
              </w:rPr>
            </w:pPr>
            <w:r>
              <w:rPr>
                <w:lang w:eastAsia="en-GB"/>
              </w:rPr>
              <w:t>•</w:t>
            </w:r>
            <w:r>
              <w:rPr>
                <w:lang w:eastAsia="en-GB"/>
              </w:rPr>
              <w:tab/>
              <w:t>And White other groups at 4.7%</w:t>
            </w:r>
          </w:p>
          <w:p w:rsidR="00F51C4D" w:rsidRDefault="00F51C4D">
            <w:pPr>
              <w:spacing w:before="0" w:after="0"/>
              <w:ind w:left="364" w:right="318" w:hanging="283"/>
              <w:rPr>
                <w:lang w:eastAsia="en-GB"/>
              </w:rPr>
            </w:pPr>
          </w:p>
          <w:p w:rsidR="00F51C4D" w:rsidRDefault="00F51C4D">
            <w:pPr>
              <w:spacing w:before="0" w:after="0"/>
              <w:ind w:left="364" w:right="318" w:hanging="283"/>
              <w:rPr>
                <w:lang w:eastAsia="en-GB"/>
              </w:rPr>
            </w:pPr>
            <w:r>
              <w:rPr>
                <w:lang w:eastAsia="en-GB"/>
              </w:rPr>
              <w:t>•</w:t>
            </w:r>
            <w:r>
              <w:rPr>
                <w:lang w:eastAsia="en-GB"/>
              </w:rPr>
              <w:tab/>
              <w:t>There is a higher than average proportion of minority ethnic groups in nursery and reception years accounting for 39.3% of pupils.</w:t>
            </w:r>
          </w:p>
          <w:p w:rsidR="00F51C4D" w:rsidRDefault="00F51C4D">
            <w:pPr>
              <w:spacing w:before="0" w:after="0"/>
              <w:ind w:left="364" w:right="318" w:hanging="283"/>
              <w:rPr>
                <w:lang w:eastAsia="en-GB"/>
              </w:rPr>
            </w:pPr>
          </w:p>
        </w:tc>
      </w:tr>
    </w:tbl>
    <w:p w:rsidR="00F51C4D" w:rsidRDefault="00F51C4D" w:rsidP="00F51C4D">
      <w:pPr>
        <w:spacing w:before="0" w:after="0"/>
      </w:pPr>
    </w:p>
    <w:p w:rsidR="00F51C4D" w:rsidRDefault="00F51C4D" w:rsidP="00F51C4D">
      <w:pPr>
        <w:pStyle w:val="Heading2"/>
        <w:numPr>
          <w:ilvl w:val="0"/>
          <w:numId w:val="0"/>
        </w:numPr>
        <w:ind w:left="718"/>
      </w:pPr>
    </w:p>
    <w:p w:rsidR="00F51C4D" w:rsidRDefault="00F51C4D" w:rsidP="00F51C4D">
      <w:pPr>
        <w:pStyle w:val="Heading3"/>
        <w:numPr>
          <w:ilvl w:val="2"/>
          <w:numId w:val="2"/>
        </w:numPr>
      </w:pPr>
      <w:r>
        <w:lastRenderedPageBreak/>
        <w:t xml:space="preserve">The chart below shows the percentage of pupil ethnicity in Milton Keynes 2004-2013; </w:t>
      </w:r>
      <w:proofErr w:type="gramStart"/>
      <w:r>
        <w:t>overall</w:t>
      </w:r>
      <w:proofErr w:type="gramEnd"/>
      <w:r>
        <w:t xml:space="preserve"> the percentage of BME pupils has nearly doubled from 19% in 2004 to 35.3% in 2013. The percentage of BME pupils amongst nursery and reception class children has consistently represented a higher than MK average</w:t>
      </w:r>
      <w:bookmarkStart w:id="3" w:name="_GoBack"/>
      <w:bookmarkEnd w:id="3"/>
      <w:r>
        <w:t>.</w:t>
      </w:r>
    </w:p>
    <w:p w:rsidR="00F51C4D" w:rsidRDefault="00F51C4D" w:rsidP="00F51C4D">
      <w:pPr>
        <w:spacing w:before="0" w:after="0"/>
      </w:pPr>
    </w:p>
    <w:p w:rsidR="00F51C4D" w:rsidRDefault="00F51C4D" w:rsidP="00F51C4D">
      <w:pPr>
        <w:pStyle w:val="Heading2"/>
        <w:numPr>
          <w:ilvl w:val="0"/>
          <w:numId w:val="0"/>
        </w:numPr>
        <w:ind w:left="718"/>
      </w:pPr>
      <w:r>
        <w:rPr>
          <w:noProof/>
          <w:lang w:eastAsia="en-GB"/>
        </w:rPr>
        <w:drawing>
          <wp:inline distT="0" distB="0" distL="0" distR="0">
            <wp:extent cx="53340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2857500"/>
                    </a:xfrm>
                    <a:prstGeom prst="rect">
                      <a:avLst/>
                    </a:prstGeom>
                    <a:noFill/>
                    <a:ln>
                      <a:noFill/>
                    </a:ln>
                  </pic:spPr>
                </pic:pic>
              </a:graphicData>
            </a:graphic>
          </wp:inline>
        </w:drawing>
      </w:r>
    </w:p>
    <w:p w:rsidR="00F51C4D" w:rsidRDefault="00F51C4D" w:rsidP="00F51C4D">
      <w:pPr>
        <w:pStyle w:val="Heading3"/>
        <w:numPr>
          <w:ilvl w:val="2"/>
          <w:numId w:val="2"/>
        </w:numPr>
      </w:pPr>
      <w:r>
        <w:t>The following two charts below show the number of all BME pupils and those in nursery and reception class 2004-2013, to illustrate actual numbers of pupils concerned.</w:t>
      </w:r>
    </w:p>
    <w:p w:rsidR="00F51C4D" w:rsidRDefault="00F51C4D" w:rsidP="00F51C4D">
      <w:pPr>
        <w:spacing w:before="0" w:after="0"/>
      </w:pPr>
      <w:r>
        <w:rPr>
          <w:noProof/>
          <w:lang w:eastAsia="en-GB"/>
        </w:rPr>
        <w:drawing>
          <wp:anchor distT="0" distB="0" distL="114300" distR="114300" simplePos="0" relativeHeight="251658240" behindDoc="0" locked="0" layoutInCell="1" allowOverlap="1">
            <wp:simplePos x="0" y="0"/>
            <wp:positionH relativeFrom="column">
              <wp:posOffset>355600</wp:posOffset>
            </wp:positionH>
            <wp:positionV relativeFrom="paragraph">
              <wp:posOffset>35560</wp:posOffset>
            </wp:positionV>
            <wp:extent cx="5550535" cy="33959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0535" cy="3395980"/>
                    </a:xfrm>
                    <a:prstGeom prst="rect">
                      <a:avLst/>
                    </a:prstGeom>
                    <a:noFill/>
                  </pic:spPr>
                </pic:pic>
              </a:graphicData>
            </a:graphic>
            <wp14:sizeRelH relativeFrom="page">
              <wp14:pctWidth>0</wp14:pctWidth>
            </wp14:sizeRelH>
            <wp14:sizeRelV relativeFrom="page">
              <wp14:pctHeight>0</wp14:pctHeight>
            </wp14:sizeRelV>
          </wp:anchor>
        </w:drawing>
      </w: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r>
        <w:rPr>
          <w:noProof/>
          <w:lang w:eastAsia="en-GB"/>
        </w:rPr>
        <w:lastRenderedPageBreak/>
        <w:drawing>
          <wp:inline distT="0" distB="0" distL="0" distR="0">
            <wp:extent cx="535305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114675"/>
                    </a:xfrm>
                    <a:prstGeom prst="rect">
                      <a:avLst/>
                    </a:prstGeom>
                    <a:noFill/>
                    <a:ln>
                      <a:noFill/>
                    </a:ln>
                  </pic:spPr>
                </pic:pic>
              </a:graphicData>
            </a:graphic>
          </wp:inline>
        </w:drawing>
      </w:r>
    </w:p>
    <w:p w:rsidR="00F51C4D" w:rsidRDefault="00F51C4D" w:rsidP="00F51C4D">
      <w:pPr>
        <w:spacing w:before="0" w:after="0"/>
      </w:pPr>
    </w:p>
    <w:p w:rsidR="00F51C4D" w:rsidRDefault="00F51C4D" w:rsidP="00F51C4D">
      <w:pPr>
        <w:pStyle w:val="Heading2"/>
        <w:numPr>
          <w:ilvl w:val="1"/>
          <w:numId w:val="2"/>
        </w:numPr>
      </w:pPr>
      <w:r>
        <w:rPr>
          <w:b/>
        </w:rPr>
        <w:t>Key Stage 1 attainment by ethnicity</w:t>
      </w:r>
      <w:r>
        <w:rPr>
          <w:vertAlign w:val="superscript"/>
        </w:rPr>
        <w:footnoteReference w:id="8"/>
      </w:r>
    </w:p>
    <w:p w:rsidR="00F51C4D" w:rsidRDefault="00F51C4D" w:rsidP="00F51C4D">
      <w:pPr>
        <w:pStyle w:val="Heading3"/>
        <w:numPr>
          <w:ilvl w:val="2"/>
          <w:numId w:val="2"/>
        </w:numPr>
      </w:pPr>
      <w:r>
        <w:t>For children with English as an additional language (EAL) it can be seen:</w:t>
      </w:r>
    </w:p>
    <w:p w:rsidR="00F51C4D" w:rsidRDefault="00F51C4D" w:rsidP="00F51C4D">
      <w:pPr>
        <w:pStyle w:val="ListParagraph"/>
        <w:numPr>
          <w:ilvl w:val="0"/>
          <w:numId w:val="22"/>
        </w:numPr>
        <w:spacing w:before="0" w:after="0"/>
        <w:ind w:left="1134" w:hanging="425"/>
      </w:pPr>
      <w:r>
        <w:t>Reading (Level 2+) children with EAL are above the national average and are on slightly above non-EAL children</w:t>
      </w:r>
    </w:p>
    <w:p w:rsidR="00F51C4D" w:rsidRDefault="00F51C4D" w:rsidP="00F51C4D">
      <w:pPr>
        <w:pStyle w:val="ListParagraph"/>
        <w:numPr>
          <w:ilvl w:val="0"/>
          <w:numId w:val="22"/>
        </w:numPr>
        <w:spacing w:before="0" w:after="0"/>
        <w:ind w:left="1134" w:hanging="425"/>
      </w:pPr>
      <w:r>
        <w:t>Writing (Level 2+) children with EAL are above the national average and slightly above non-EAL children</w:t>
      </w:r>
    </w:p>
    <w:p w:rsidR="00F51C4D" w:rsidRDefault="00F51C4D" w:rsidP="00F51C4D">
      <w:pPr>
        <w:pStyle w:val="ListParagraph"/>
        <w:numPr>
          <w:ilvl w:val="0"/>
          <w:numId w:val="22"/>
        </w:numPr>
        <w:spacing w:before="0" w:after="0"/>
        <w:ind w:left="1134" w:hanging="425"/>
      </w:pPr>
      <w:r>
        <w:t>Maths (Level 2+) children with EAL are above the national average but slightly below non-EAL children.</w:t>
      </w:r>
    </w:p>
    <w:p w:rsidR="00F51C4D" w:rsidRDefault="00F51C4D" w:rsidP="00F51C4D">
      <w:pPr>
        <w:pStyle w:val="ListParagraph"/>
        <w:spacing w:before="0" w:after="0"/>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132"/>
        <w:gridCol w:w="2132"/>
        <w:gridCol w:w="2132"/>
      </w:tblGrid>
      <w:tr w:rsidR="00F51C4D" w:rsidTr="00F51C4D">
        <w:tc>
          <w:tcPr>
            <w:tcW w:w="8420" w:type="dxa"/>
            <w:gridSpan w:val="4"/>
            <w:tcBorders>
              <w:top w:val="single" w:sz="4" w:space="0" w:color="auto"/>
              <w:left w:val="single" w:sz="4" w:space="0" w:color="auto"/>
              <w:bottom w:val="single" w:sz="4" w:space="0" w:color="auto"/>
              <w:right w:val="single" w:sz="4" w:space="0" w:color="auto"/>
            </w:tcBorders>
            <w:shd w:val="clear" w:color="auto" w:fill="BFBFBF"/>
            <w:hideMark/>
          </w:tcPr>
          <w:p w:rsidR="00F51C4D" w:rsidRDefault="00F51C4D">
            <w:pPr>
              <w:spacing w:before="0" w:after="0"/>
              <w:ind w:hanging="709"/>
              <w:contextualSpacing/>
            </w:pPr>
            <w:r>
              <w:t>Key Stage 1 Attainment Summary Level 2+ Reading, Writing and Maths</w:t>
            </w:r>
          </w:p>
        </w:tc>
      </w:tr>
      <w:tr w:rsidR="00F51C4D" w:rsidTr="00F51C4D">
        <w:tc>
          <w:tcPr>
            <w:tcW w:w="2024" w:type="dxa"/>
            <w:tcBorders>
              <w:top w:val="single" w:sz="4" w:space="0" w:color="auto"/>
              <w:left w:val="single" w:sz="4" w:space="0" w:color="auto"/>
              <w:bottom w:val="single" w:sz="4" w:space="0" w:color="auto"/>
              <w:right w:val="single" w:sz="4" w:space="0" w:color="auto"/>
            </w:tcBorders>
          </w:tcPr>
          <w:p w:rsidR="00F51C4D" w:rsidRDefault="00F51C4D">
            <w:pPr>
              <w:spacing w:before="0" w:after="0"/>
              <w:ind w:hanging="709"/>
              <w:contextualSpacing/>
            </w:pP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Reading</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Writing</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Maths</w:t>
            </w:r>
          </w:p>
        </w:tc>
      </w:tr>
      <w:tr w:rsidR="00F51C4D" w:rsidTr="00F51C4D">
        <w:tc>
          <w:tcPr>
            <w:tcW w:w="202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National</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89%</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85%</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91%</w:t>
            </w:r>
          </w:p>
        </w:tc>
      </w:tr>
      <w:tr w:rsidR="00F51C4D" w:rsidTr="00F51C4D">
        <w:tc>
          <w:tcPr>
            <w:tcW w:w="202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EAL</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91.2%</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88.8%</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92.8%</w:t>
            </w:r>
          </w:p>
        </w:tc>
      </w:tr>
      <w:tr w:rsidR="00F51C4D" w:rsidTr="00F51C4D">
        <w:tc>
          <w:tcPr>
            <w:tcW w:w="202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Non-EAL</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90.2%</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86.1%</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93.8%</w:t>
            </w:r>
          </w:p>
        </w:tc>
      </w:tr>
    </w:tbl>
    <w:p w:rsidR="00F51C4D" w:rsidRDefault="00F51C4D" w:rsidP="00F51C4D">
      <w:pPr>
        <w:pStyle w:val="Heading2"/>
        <w:numPr>
          <w:ilvl w:val="0"/>
          <w:numId w:val="0"/>
        </w:numPr>
        <w:ind w:left="718"/>
      </w:pPr>
    </w:p>
    <w:p w:rsidR="00F51C4D" w:rsidRDefault="00F51C4D" w:rsidP="00F51C4D">
      <w:pPr>
        <w:pStyle w:val="ListParagraph"/>
        <w:numPr>
          <w:ilvl w:val="0"/>
          <w:numId w:val="24"/>
        </w:numPr>
        <w:spacing w:before="0" w:after="0"/>
        <w:ind w:left="1134" w:hanging="425"/>
      </w:pPr>
      <w:r>
        <w:t>Reading (Level 2B+) children with EAL are above the national average and are on slightly above non-EAL children</w:t>
      </w:r>
    </w:p>
    <w:p w:rsidR="00F51C4D" w:rsidRDefault="00F51C4D" w:rsidP="00F51C4D">
      <w:pPr>
        <w:pStyle w:val="ListParagraph"/>
        <w:numPr>
          <w:ilvl w:val="0"/>
          <w:numId w:val="24"/>
        </w:numPr>
        <w:spacing w:before="0" w:after="0"/>
        <w:ind w:left="1134" w:hanging="425"/>
      </w:pPr>
      <w:r>
        <w:t>Writing (Level 2B+) children with EAL are above the national average and slightly above non-EAL children</w:t>
      </w:r>
    </w:p>
    <w:p w:rsidR="00F51C4D" w:rsidRDefault="00F51C4D" w:rsidP="00F51C4D">
      <w:pPr>
        <w:pStyle w:val="ListParagraph"/>
        <w:numPr>
          <w:ilvl w:val="0"/>
          <w:numId w:val="24"/>
        </w:numPr>
        <w:spacing w:before="0" w:after="0"/>
        <w:ind w:left="1134" w:hanging="425"/>
      </w:pPr>
      <w:r>
        <w:t>Maths (Level 2B+) children with EAL are above the national average but slightly below non-EAL children.</w:t>
      </w: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2132"/>
      </w:tblGrid>
      <w:tr w:rsidR="00F51C4D" w:rsidTr="00F51C4D">
        <w:tc>
          <w:tcPr>
            <w:tcW w:w="852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F51C4D" w:rsidRDefault="00F51C4D">
            <w:pPr>
              <w:spacing w:before="0" w:after="0"/>
              <w:ind w:hanging="709"/>
              <w:contextualSpacing/>
            </w:pPr>
            <w:r>
              <w:t>Key Stage 1 Attainment Summary Level 2B+ Reading, Writing and Maths</w:t>
            </w:r>
          </w:p>
        </w:tc>
      </w:tr>
      <w:tr w:rsidR="00F51C4D" w:rsidTr="00F51C4D">
        <w:tc>
          <w:tcPr>
            <w:tcW w:w="2132" w:type="dxa"/>
            <w:tcBorders>
              <w:top w:val="single" w:sz="4" w:space="0" w:color="auto"/>
              <w:left w:val="single" w:sz="4" w:space="0" w:color="auto"/>
              <w:bottom w:val="single" w:sz="4" w:space="0" w:color="auto"/>
              <w:right w:val="single" w:sz="4" w:space="0" w:color="auto"/>
            </w:tcBorders>
          </w:tcPr>
          <w:p w:rsidR="00F51C4D" w:rsidRDefault="00F51C4D">
            <w:pPr>
              <w:spacing w:before="0" w:after="0"/>
              <w:ind w:hanging="709"/>
              <w:contextualSpacing/>
            </w:pP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Reading</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Writing</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Maths</w:t>
            </w:r>
          </w:p>
        </w:tc>
      </w:tr>
      <w:tr w:rsidR="00F51C4D" w:rsidTr="00F51C4D">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lastRenderedPageBreak/>
              <w:t>National</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79%</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67%</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78%</w:t>
            </w:r>
          </w:p>
        </w:tc>
      </w:tr>
      <w:tr w:rsidR="00F51C4D" w:rsidTr="00F51C4D">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EAL</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83.9%</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71.5%</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79.5%</w:t>
            </w:r>
          </w:p>
        </w:tc>
      </w:tr>
      <w:tr w:rsidR="00F51C4D" w:rsidTr="00F51C4D">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Non-EAL</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82.0%</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68.2%</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81.2%</w:t>
            </w:r>
          </w:p>
        </w:tc>
      </w:tr>
    </w:tbl>
    <w:p w:rsidR="00F51C4D" w:rsidRDefault="00F51C4D" w:rsidP="00F51C4D">
      <w:pPr>
        <w:pStyle w:val="Heading2"/>
        <w:numPr>
          <w:ilvl w:val="0"/>
          <w:numId w:val="0"/>
        </w:numPr>
        <w:ind w:left="718"/>
      </w:pPr>
    </w:p>
    <w:p w:rsidR="00F51C4D" w:rsidRDefault="00F51C4D" w:rsidP="00F51C4D">
      <w:pPr>
        <w:pStyle w:val="ListParagraph"/>
        <w:numPr>
          <w:ilvl w:val="0"/>
          <w:numId w:val="26"/>
        </w:numPr>
        <w:spacing w:before="0" w:after="0"/>
        <w:ind w:left="1134" w:hanging="425"/>
      </w:pPr>
      <w:r>
        <w:t>Reading (Level 3+) children with EAL are on a par with the national average and are on slightly below non-EAL children</w:t>
      </w:r>
    </w:p>
    <w:p w:rsidR="00F51C4D" w:rsidRDefault="00F51C4D" w:rsidP="00F51C4D">
      <w:pPr>
        <w:pStyle w:val="ListParagraph"/>
        <w:numPr>
          <w:ilvl w:val="0"/>
          <w:numId w:val="26"/>
        </w:numPr>
        <w:spacing w:before="0" w:after="0"/>
        <w:ind w:left="1134" w:hanging="425"/>
      </w:pPr>
      <w:r>
        <w:t>Writing (Level 3+) children with EAL are above the national average and slightly above non-EAL children</w:t>
      </w:r>
    </w:p>
    <w:p w:rsidR="00F51C4D" w:rsidRDefault="00F51C4D" w:rsidP="00F51C4D">
      <w:pPr>
        <w:pStyle w:val="ListParagraph"/>
        <w:numPr>
          <w:ilvl w:val="0"/>
          <w:numId w:val="26"/>
        </w:numPr>
        <w:spacing w:before="0" w:after="0"/>
        <w:ind w:left="1134" w:hanging="425"/>
      </w:pPr>
      <w:r>
        <w:t>Maths (Level 3+) children with EAL are below the national average and below non-EAL children.</w:t>
      </w:r>
    </w:p>
    <w:p w:rsidR="00F51C4D" w:rsidRDefault="00F51C4D" w:rsidP="00F51C4D">
      <w:pPr>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132"/>
        <w:gridCol w:w="2132"/>
        <w:gridCol w:w="2132"/>
      </w:tblGrid>
      <w:tr w:rsidR="00F51C4D" w:rsidTr="00F51C4D">
        <w:tc>
          <w:tcPr>
            <w:tcW w:w="8420" w:type="dxa"/>
            <w:gridSpan w:val="4"/>
            <w:tcBorders>
              <w:top w:val="single" w:sz="4" w:space="0" w:color="auto"/>
              <w:left w:val="single" w:sz="4" w:space="0" w:color="auto"/>
              <w:bottom w:val="single" w:sz="4" w:space="0" w:color="auto"/>
              <w:right w:val="single" w:sz="4" w:space="0" w:color="auto"/>
            </w:tcBorders>
            <w:shd w:val="clear" w:color="auto" w:fill="BFBFBF"/>
            <w:hideMark/>
          </w:tcPr>
          <w:p w:rsidR="00F51C4D" w:rsidRDefault="00F51C4D">
            <w:pPr>
              <w:spacing w:before="0" w:after="0"/>
              <w:ind w:hanging="709"/>
              <w:contextualSpacing/>
            </w:pPr>
            <w:r>
              <w:t>Key Stage 1 Attainment Summary Level 3+ Reading, Writing and Maths</w:t>
            </w:r>
          </w:p>
        </w:tc>
      </w:tr>
      <w:tr w:rsidR="00F51C4D" w:rsidTr="00F51C4D">
        <w:tc>
          <w:tcPr>
            <w:tcW w:w="2024" w:type="dxa"/>
            <w:tcBorders>
              <w:top w:val="single" w:sz="4" w:space="0" w:color="auto"/>
              <w:left w:val="single" w:sz="4" w:space="0" w:color="auto"/>
              <w:bottom w:val="single" w:sz="4" w:space="0" w:color="auto"/>
              <w:right w:val="single" w:sz="4" w:space="0" w:color="auto"/>
            </w:tcBorders>
          </w:tcPr>
          <w:p w:rsidR="00F51C4D" w:rsidRDefault="00F51C4D">
            <w:pPr>
              <w:spacing w:before="0" w:after="0"/>
              <w:ind w:hanging="709"/>
              <w:contextualSpacing/>
            </w:pP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Reading</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Writing</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Maths</w:t>
            </w:r>
          </w:p>
        </w:tc>
      </w:tr>
      <w:tr w:rsidR="00F51C4D" w:rsidTr="00F51C4D">
        <w:tc>
          <w:tcPr>
            <w:tcW w:w="202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National</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29%</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15%</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23%</w:t>
            </w:r>
          </w:p>
        </w:tc>
      </w:tr>
      <w:tr w:rsidR="00F51C4D" w:rsidTr="00F51C4D">
        <w:tc>
          <w:tcPr>
            <w:tcW w:w="202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EAL</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29.3%</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16.8%</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22.6%</w:t>
            </w:r>
          </w:p>
        </w:tc>
      </w:tr>
      <w:tr w:rsidR="00F51C4D" w:rsidTr="00F51C4D">
        <w:tc>
          <w:tcPr>
            <w:tcW w:w="202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Non-EAL</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31.8%</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15.5%</w:t>
            </w:r>
          </w:p>
        </w:tc>
        <w:tc>
          <w:tcPr>
            <w:tcW w:w="2132"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24.7%</w:t>
            </w:r>
          </w:p>
        </w:tc>
      </w:tr>
    </w:tbl>
    <w:p w:rsidR="00F51C4D" w:rsidRDefault="00F51C4D" w:rsidP="00F51C4D">
      <w:pPr>
        <w:pStyle w:val="Heading3"/>
        <w:numPr>
          <w:ilvl w:val="0"/>
          <w:numId w:val="0"/>
        </w:numPr>
        <w:spacing w:before="0" w:after="0"/>
        <w:ind w:left="720"/>
      </w:pPr>
    </w:p>
    <w:p w:rsidR="00F51C4D" w:rsidRDefault="00F51C4D" w:rsidP="00F51C4D">
      <w:pPr>
        <w:pStyle w:val="Heading3"/>
        <w:numPr>
          <w:ilvl w:val="2"/>
          <w:numId w:val="2"/>
        </w:numPr>
      </w:pPr>
      <w:r>
        <w:t xml:space="preserve">Overall, children with EAL compare favourably with the national average and with non-EAL children for reading and writing at level 2+ and 2B+. For </w:t>
      </w:r>
      <w:proofErr w:type="gramStart"/>
      <w:r>
        <w:t>maths</w:t>
      </w:r>
      <w:proofErr w:type="gramEnd"/>
      <w:r>
        <w:t xml:space="preserve"> EAL children are above the national average for levels 2+ and 2B+ but are below for level 3+. However, they are consistently below non-EAL children for maths at all levels. </w:t>
      </w:r>
    </w:p>
    <w:p w:rsidR="00F51C4D" w:rsidRDefault="00F51C4D" w:rsidP="00F51C4D">
      <w:pPr>
        <w:pStyle w:val="Heading3"/>
        <w:numPr>
          <w:ilvl w:val="2"/>
          <w:numId w:val="2"/>
        </w:numPr>
      </w:pPr>
      <w:r>
        <w:t>It is not sufficient however, to look simply at collective EAL scores compared to the national average and to non-EAL children, as this can mask differences across the ethnic groups. Furthermore, where groups are large cohorts, this may contain a number of different groups, averaging out higher and lower attainment amongst these groups. For example:</w:t>
      </w:r>
    </w:p>
    <w:p w:rsidR="00F51C4D" w:rsidRDefault="00F51C4D" w:rsidP="00F51C4D">
      <w:pPr>
        <w:pStyle w:val="ListParagraph"/>
        <w:numPr>
          <w:ilvl w:val="0"/>
          <w:numId w:val="28"/>
        </w:numPr>
        <w:spacing w:before="0" w:after="0"/>
        <w:ind w:left="1134" w:hanging="425"/>
      </w:pPr>
      <w:r>
        <w:t>‘Any other white groups’ (including Eastern European groups) performed slightly below the national average for reading at level 2+, 2B+ and 3+, for writing at level 2+ and 2B+ and significantly for maths at levels 2B+ and 3+</w:t>
      </w:r>
    </w:p>
    <w:p w:rsidR="00F51C4D" w:rsidRDefault="00F51C4D" w:rsidP="00F51C4D">
      <w:pPr>
        <w:pStyle w:val="ListParagraph"/>
        <w:numPr>
          <w:ilvl w:val="0"/>
          <w:numId w:val="28"/>
        </w:numPr>
        <w:spacing w:before="0" w:after="0"/>
        <w:ind w:left="1134" w:hanging="425"/>
      </w:pPr>
      <w:r>
        <w:t>The ‘Indian’ ethnic group is significantly above the national average on reading, writing and maths on all three levels</w:t>
      </w:r>
    </w:p>
    <w:p w:rsidR="00F51C4D" w:rsidRDefault="00F51C4D" w:rsidP="00F51C4D">
      <w:pPr>
        <w:pStyle w:val="ListParagraph"/>
        <w:numPr>
          <w:ilvl w:val="0"/>
          <w:numId w:val="28"/>
        </w:numPr>
        <w:spacing w:before="0" w:after="0"/>
        <w:ind w:left="1134" w:hanging="425"/>
      </w:pPr>
      <w:r>
        <w:t>For the ‘Black African’ ethnic group, they are largely on a par or above the national average at level 2+ for reading and writing and slightly below for maths; for level 3+ they are significantly below the national average</w:t>
      </w:r>
    </w:p>
    <w:p w:rsidR="00F51C4D" w:rsidRDefault="00F51C4D" w:rsidP="00F51C4D">
      <w:pPr>
        <w:pStyle w:val="ListParagraph"/>
        <w:numPr>
          <w:ilvl w:val="0"/>
          <w:numId w:val="28"/>
        </w:numPr>
        <w:spacing w:before="0" w:after="0"/>
        <w:ind w:left="1134" w:hanging="425"/>
      </w:pPr>
      <w:r>
        <w:t>For the ‘Pakistani’ group, as a collective group they show differentiation of attainment</w:t>
      </w:r>
    </w:p>
    <w:p w:rsidR="00F51C4D" w:rsidRDefault="00F51C4D" w:rsidP="00F51C4D">
      <w:pPr>
        <w:pStyle w:val="ListParagraph"/>
        <w:numPr>
          <w:ilvl w:val="0"/>
          <w:numId w:val="28"/>
        </w:numPr>
        <w:spacing w:before="0" w:after="0"/>
        <w:ind w:left="1134" w:hanging="425"/>
      </w:pPr>
      <w:r>
        <w:t>Further considerations for looking at educational attainment across ethnic groups may be:</w:t>
      </w:r>
    </w:p>
    <w:p w:rsidR="00F51C4D" w:rsidRDefault="00F51C4D" w:rsidP="00F51C4D">
      <w:pPr>
        <w:pStyle w:val="ListParagraph"/>
        <w:numPr>
          <w:ilvl w:val="1"/>
          <w:numId w:val="28"/>
        </w:numPr>
        <w:spacing w:before="0" w:after="0"/>
        <w:ind w:left="1418" w:hanging="284"/>
      </w:pPr>
      <w:r>
        <w:t>Explore attainment levels for further key stages, it is noted that there is a decline for ethnic groups particularly for key stages 3 and 4</w:t>
      </w:r>
    </w:p>
    <w:p w:rsidR="00F51C4D" w:rsidRDefault="00F51C4D" w:rsidP="00F51C4D">
      <w:pPr>
        <w:pStyle w:val="ListParagraph"/>
        <w:numPr>
          <w:ilvl w:val="1"/>
          <w:numId w:val="28"/>
        </w:numPr>
        <w:spacing w:before="0" w:after="0"/>
        <w:ind w:left="1418" w:hanging="284"/>
      </w:pPr>
      <w:r>
        <w:t>Explore recording mechanisms and data for the number of SEN (special educational needs) children by ethnic groups.</w:t>
      </w:r>
    </w:p>
    <w:p w:rsidR="00F51C4D" w:rsidRDefault="00F51C4D" w:rsidP="00F51C4D">
      <w:pPr>
        <w:pStyle w:val="Heading3"/>
        <w:numPr>
          <w:ilvl w:val="2"/>
          <w:numId w:val="2"/>
        </w:numPr>
      </w:pPr>
      <w:r>
        <w:rPr>
          <w:b/>
        </w:rPr>
        <w:lastRenderedPageBreak/>
        <w:t>Live births by non-UK born</w:t>
      </w:r>
      <w:r>
        <w:t xml:space="preserve"> </w:t>
      </w:r>
      <w:r>
        <w:rPr>
          <w:b/>
        </w:rPr>
        <w:t>mothers in Milton Keynes</w:t>
      </w:r>
      <w:r>
        <w:rPr>
          <w:vertAlign w:val="superscript"/>
        </w:rPr>
        <w:footnoteReference w:id="9"/>
      </w:r>
    </w:p>
    <w:p w:rsidR="00F51C4D" w:rsidRDefault="00F51C4D" w:rsidP="00F51C4D">
      <w:r>
        <w:t xml:space="preserve">The table below shows the percentage of live births by non-UK born mothers in Milton Keynes and nationally; this figure has constantly increased in Milton Keynes and has been consistently higher than the national average, representing approximately one third of all live births in Milton Keynes. </w:t>
      </w:r>
      <w:proofErr w:type="gramStart"/>
      <w:r>
        <w:t>Illustrating that the upward trend is likely to continue.</w:t>
      </w:r>
      <w:proofErr w:type="gramEnd"/>
    </w:p>
    <w:p w:rsidR="00F51C4D" w:rsidRDefault="00F51C4D" w:rsidP="00F51C4D">
      <w:pPr>
        <w:spacing w:before="0" w:after="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841"/>
        <w:gridCol w:w="2841"/>
      </w:tblGrid>
      <w:tr w:rsidR="00F51C4D" w:rsidTr="00F51C4D">
        <w:trPr>
          <w:tblHeader/>
        </w:trPr>
        <w:tc>
          <w:tcPr>
            <w:tcW w:w="2023"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pPr>
            <w:r>
              <w:t>Year</w:t>
            </w:r>
          </w:p>
        </w:tc>
        <w:tc>
          <w:tcPr>
            <w:tcW w:w="2841"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jc w:val="center"/>
            </w:pPr>
            <w:r>
              <w:t>Milton Keynes</w:t>
            </w:r>
          </w:p>
        </w:tc>
        <w:tc>
          <w:tcPr>
            <w:tcW w:w="2841"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jc w:val="center"/>
            </w:pPr>
            <w:r>
              <w:t>England and Wales</w:t>
            </w:r>
          </w:p>
        </w:tc>
      </w:tr>
      <w:tr w:rsidR="00F51C4D" w:rsidTr="00F51C4D">
        <w:tc>
          <w:tcPr>
            <w:tcW w:w="2023"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2009</w:t>
            </w:r>
          </w:p>
        </w:tc>
        <w:tc>
          <w:tcPr>
            <w:tcW w:w="284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31.7%</w:t>
            </w:r>
          </w:p>
        </w:tc>
        <w:tc>
          <w:tcPr>
            <w:tcW w:w="284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24.7%</w:t>
            </w:r>
          </w:p>
        </w:tc>
      </w:tr>
      <w:tr w:rsidR="00F51C4D" w:rsidTr="00F51C4D">
        <w:tc>
          <w:tcPr>
            <w:tcW w:w="2023"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2010</w:t>
            </w:r>
          </w:p>
        </w:tc>
        <w:tc>
          <w:tcPr>
            <w:tcW w:w="284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31.9%</w:t>
            </w:r>
          </w:p>
        </w:tc>
        <w:tc>
          <w:tcPr>
            <w:tcW w:w="284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25.1%</w:t>
            </w:r>
          </w:p>
        </w:tc>
      </w:tr>
      <w:tr w:rsidR="00F51C4D" w:rsidTr="00F51C4D">
        <w:tc>
          <w:tcPr>
            <w:tcW w:w="2023"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2011</w:t>
            </w:r>
          </w:p>
        </w:tc>
        <w:tc>
          <w:tcPr>
            <w:tcW w:w="284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32.6%</w:t>
            </w:r>
          </w:p>
        </w:tc>
        <w:tc>
          <w:tcPr>
            <w:tcW w:w="284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25.5%</w:t>
            </w:r>
          </w:p>
        </w:tc>
      </w:tr>
      <w:tr w:rsidR="00F51C4D" w:rsidTr="00F51C4D">
        <w:tc>
          <w:tcPr>
            <w:tcW w:w="2023"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2012</w:t>
            </w:r>
          </w:p>
        </w:tc>
        <w:tc>
          <w:tcPr>
            <w:tcW w:w="284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33.2%</w:t>
            </w:r>
          </w:p>
        </w:tc>
        <w:tc>
          <w:tcPr>
            <w:tcW w:w="284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25.9%</w:t>
            </w:r>
          </w:p>
        </w:tc>
      </w:tr>
    </w:tbl>
    <w:p w:rsidR="00F51C4D" w:rsidRDefault="00F51C4D" w:rsidP="00F51C4D">
      <w:pPr>
        <w:pStyle w:val="Heading2"/>
        <w:numPr>
          <w:ilvl w:val="0"/>
          <w:numId w:val="0"/>
        </w:numPr>
        <w:ind w:left="718"/>
      </w:pPr>
    </w:p>
    <w:p w:rsidR="00F51C4D" w:rsidRDefault="00F51C4D" w:rsidP="00F51C4D">
      <w:pPr>
        <w:pStyle w:val="Heading3"/>
        <w:numPr>
          <w:ilvl w:val="2"/>
          <w:numId w:val="2"/>
        </w:numPr>
      </w:pPr>
      <w:r>
        <w:t>The table below shows the percentage of live births by non-UK born mothers across statistical neighbours; it can be seen that Milton Keynes is significantly higher than the majority of the statistical neighbours.</w:t>
      </w:r>
    </w:p>
    <w:p w:rsidR="00F51C4D" w:rsidRDefault="00F51C4D" w:rsidP="00F51C4D">
      <w:pPr>
        <w:spacing w:before="0" w:after="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980"/>
        <w:gridCol w:w="1934"/>
      </w:tblGrid>
      <w:tr w:rsidR="00F51C4D" w:rsidTr="00F51C4D">
        <w:tc>
          <w:tcPr>
            <w:tcW w:w="3791"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pPr>
            <w:r>
              <w:t>Statistical neighbours</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jc w:val="center"/>
            </w:pPr>
            <w:r>
              <w:t>2011</w:t>
            </w:r>
          </w:p>
        </w:tc>
        <w:tc>
          <w:tcPr>
            <w:tcW w:w="1934"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jc w:val="center"/>
            </w:pPr>
            <w:r>
              <w:t>2012</w:t>
            </w:r>
          </w:p>
        </w:tc>
      </w:tr>
      <w:tr w:rsidR="00F51C4D" w:rsidTr="00F51C4D">
        <w:tc>
          <w:tcPr>
            <w:tcW w:w="379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Solihull</w:t>
            </w:r>
          </w:p>
        </w:tc>
        <w:tc>
          <w:tcPr>
            <w:tcW w:w="198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10.9%</w:t>
            </w:r>
          </w:p>
        </w:tc>
        <w:tc>
          <w:tcPr>
            <w:tcW w:w="193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11.0%</w:t>
            </w:r>
          </w:p>
        </w:tc>
      </w:tr>
      <w:tr w:rsidR="00F51C4D" w:rsidTr="00F51C4D">
        <w:tc>
          <w:tcPr>
            <w:tcW w:w="379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Stockport</w:t>
            </w:r>
          </w:p>
        </w:tc>
        <w:tc>
          <w:tcPr>
            <w:tcW w:w="198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11.9%</w:t>
            </w:r>
          </w:p>
        </w:tc>
        <w:tc>
          <w:tcPr>
            <w:tcW w:w="193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11.6%</w:t>
            </w:r>
          </w:p>
        </w:tc>
      </w:tr>
      <w:tr w:rsidR="00F51C4D" w:rsidTr="00F51C4D">
        <w:tc>
          <w:tcPr>
            <w:tcW w:w="379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Kent</w:t>
            </w:r>
          </w:p>
        </w:tc>
        <w:tc>
          <w:tcPr>
            <w:tcW w:w="198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16.5%</w:t>
            </w:r>
          </w:p>
        </w:tc>
        <w:tc>
          <w:tcPr>
            <w:tcW w:w="193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17.3%</w:t>
            </w:r>
          </w:p>
        </w:tc>
      </w:tr>
      <w:tr w:rsidR="00F51C4D" w:rsidTr="00F51C4D">
        <w:tc>
          <w:tcPr>
            <w:tcW w:w="379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Bury</w:t>
            </w:r>
          </w:p>
        </w:tc>
        <w:tc>
          <w:tcPr>
            <w:tcW w:w="198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17.1%</w:t>
            </w:r>
          </w:p>
        </w:tc>
        <w:tc>
          <w:tcPr>
            <w:tcW w:w="193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16.9%</w:t>
            </w:r>
          </w:p>
        </w:tc>
      </w:tr>
      <w:tr w:rsidR="00F51C4D" w:rsidTr="00F51C4D">
        <w:tc>
          <w:tcPr>
            <w:tcW w:w="379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Trafford</w:t>
            </w:r>
          </w:p>
        </w:tc>
        <w:tc>
          <w:tcPr>
            <w:tcW w:w="198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19.3%</w:t>
            </w:r>
          </w:p>
        </w:tc>
        <w:tc>
          <w:tcPr>
            <w:tcW w:w="193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18.7%</w:t>
            </w:r>
          </w:p>
        </w:tc>
      </w:tr>
      <w:tr w:rsidR="00F51C4D" w:rsidTr="00F51C4D">
        <w:tc>
          <w:tcPr>
            <w:tcW w:w="379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Northamptonshire</w:t>
            </w:r>
          </w:p>
        </w:tc>
        <w:tc>
          <w:tcPr>
            <w:tcW w:w="198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21.9%</w:t>
            </w:r>
          </w:p>
        </w:tc>
        <w:tc>
          <w:tcPr>
            <w:tcW w:w="193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22.8%</w:t>
            </w:r>
          </w:p>
        </w:tc>
      </w:tr>
      <w:tr w:rsidR="00F51C4D" w:rsidTr="00F51C4D">
        <w:tc>
          <w:tcPr>
            <w:tcW w:w="379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Swindon</w:t>
            </w:r>
          </w:p>
        </w:tc>
        <w:tc>
          <w:tcPr>
            <w:tcW w:w="198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23.0%</w:t>
            </w:r>
          </w:p>
        </w:tc>
        <w:tc>
          <w:tcPr>
            <w:tcW w:w="193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24.5%</w:t>
            </w:r>
          </w:p>
        </w:tc>
      </w:tr>
      <w:tr w:rsidR="00F51C4D" w:rsidTr="00F51C4D">
        <w:tc>
          <w:tcPr>
            <w:tcW w:w="379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Leeds</w:t>
            </w:r>
          </w:p>
        </w:tc>
        <w:tc>
          <w:tcPr>
            <w:tcW w:w="198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23.6%</w:t>
            </w:r>
          </w:p>
        </w:tc>
        <w:tc>
          <w:tcPr>
            <w:tcW w:w="193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24.1%</w:t>
            </w:r>
          </w:p>
        </w:tc>
      </w:tr>
      <w:tr w:rsidR="00F51C4D" w:rsidTr="00F51C4D">
        <w:tc>
          <w:tcPr>
            <w:tcW w:w="379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Hertfordshire</w:t>
            </w:r>
          </w:p>
        </w:tc>
        <w:tc>
          <w:tcPr>
            <w:tcW w:w="198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24.6%</w:t>
            </w:r>
          </w:p>
        </w:tc>
        <w:tc>
          <w:tcPr>
            <w:tcW w:w="193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24.9%</w:t>
            </w:r>
          </w:p>
        </w:tc>
      </w:tr>
      <w:tr w:rsidR="00F51C4D" w:rsidTr="00F51C4D">
        <w:tc>
          <w:tcPr>
            <w:tcW w:w="379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pPr>
            <w:r>
              <w:t>Bedford Borough</w:t>
            </w:r>
          </w:p>
        </w:tc>
        <w:tc>
          <w:tcPr>
            <w:tcW w:w="198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31.5%</w:t>
            </w:r>
          </w:p>
        </w:tc>
        <w:tc>
          <w:tcPr>
            <w:tcW w:w="193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31.9%</w:t>
            </w:r>
          </w:p>
        </w:tc>
      </w:tr>
      <w:tr w:rsidR="00F51C4D" w:rsidTr="00F51C4D">
        <w:tc>
          <w:tcPr>
            <w:tcW w:w="379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51C4D" w:rsidRDefault="00F51C4D">
            <w:pPr>
              <w:spacing w:before="0" w:after="0"/>
              <w:ind w:hanging="709"/>
              <w:contextualSpacing/>
            </w:pPr>
            <w:r>
              <w:t>Milton Keynes</w:t>
            </w: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51C4D" w:rsidRDefault="00F51C4D">
            <w:pPr>
              <w:spacing w:before="0" w:after="0"/>
              <w:ind w:hanging="709"/>
              <w:contextualSpacing/>
              <w:jc w:val="center"/>
            </w:pPr>
            <w:r>
              <w:t>32.6%</w:t>
            </w:r>
          </w:p>
        </w:tc>
        <w:tc>
          <w:tcPr>
            <w:tcW w:w="19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51C4D" w:rsidRDefault="00F51C4D">
            <w:pPr>
              <w:spacing w:before="0" w:after="0"/>
              <w:ind w:hanging="709"/>
              <w:contextualSpacing/>
              <w:jc w:val="center"/>
            </w:pPr>
            <w:r>
              <w:t>33.2%</w:t>
            </w:r>
          </w:p>
        </w:tc>
      </w:tr>
    </w:tbl>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spacing w:before="0" w:after="0"/>
      </w:pPr>
    </w:p>
    <w:p w:rsidR="00F51C4D" w:rsidRDefault="00F51C4D" w:rsidP="00F51C4D">
      <w:pPr>
        <w:pStyle w:val="Heading2"/>
        <w:numPr>
          <w:ilvl w:val="1"/>
          <w:numId w:val="2"/>
        </w:numPr>
        <w:rPr>
          <w:b/>
        </w:rPr>
      </w:pPr>
      <w:r>
        <w:rPr>
          <w:b/>
        </w:rPr>
        <w:t>Which wards in Milton Keynes have a higher density of BME groups?</w:t>
      </w:r>
    </w:p>
    <w:p w:rsidR="00F51C4D" w:rsidRDefault="00F51C4D" w:rsidP="00F51C4D">
      <w:pPr>
        <w:spacing w:before="0" w:after="0"/>
      </w:pPr>
    </w:p>
    <w:p w:rsidR="00F51C4D" w:rsidRDefault="00F51C4D" w:rsidP="00F51C4D">
      <w:pPr>
        <w:pStyle w:val="Heading3"/>
        <w:numPr>
          <w:ilvl w:val="2"/>
          <w:numId w:val="2"/>
        </w:numPr>
        <w:spacing w:before="0" w:after="0"/>
      </w:pPr>
      <w:r>
        <w:lastRenderedPageBreak/>
        <w:t>The table below shows numbers and percentage of ethnic groups by ward, compared to the Milton Keynes average. The highlighted rows show where there are higher than Milton Keynes average density of BME groups. There are 23 wards in Milton Keynes, nearly half of the wards (11) show a higher than Milton Keynes average, with Campbell Park ward showing the highest proportions, i.e. half of the population in Campbell Park ward are from BME groups.</w:t>
      </w:r>
    </w:p>
    <w:p w:rsidR="00F51C4D" w:rsidRDefault="00F51C4D" w:rsidP="00F51C4D">
      <w:pPr>
        <w:spacing w:before="0" w:after="0"/>
        <w:ind w:left="0"/>
      </w:pPr>
    </w:p>
    <w:tbl>
      <w:tblPr>
        <w:tblW w:w="8674" w:type="dxa"/>
        <w:tblInd w:w="93" w:type="dxa"/>
        <w:tblLook w:val="04A0" w:firstRow="1" w:lastRow="0" w:firstColumn="1" w:lastColumn="0" w:noHBand="0" w:noVBand="1"/>
      </w:tblPr>
      <w:tblGrid>
        <w:gridCol w:w="4035"/>
        <w:gridCol w:w="1677"/>
        <w:gridCol w:w="1470"/>
        <w:gridCol w:w="1492"/>
      </w:tblGrid>
      <w:tr w:rsidR="00F51C4D" w:rsidTr="00F51C4D">
        <w:trPr>
          <w:trHeight w:val="334"/>
          <w:tblHeader/>
        </w:trPr>
        <w:tc>
          <w:tcPr>
            <w:tcW w:w="8674"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51C4D" w:rsidRDefault="00F51C4D">
            <w:pPr>
              <w:spacing w:before="0" w:after="0"/>
              <w:ind w:hanging="709"/>
              <w:contextualSpacing/>
            </w:pPr>
            <w:r>
              <w:t>Ethnic Group by Ward: Census 2011</w:t>
            </w:r>
          </w:p>
        </w:tc>
      </w:tr>
      <w:tr w:rsidR="00F51C4D" w:rsidTr="00F51C4D">
        <w:trPr>
          <w:trHeight w:val="334"/>
          <w:tblHeader/>
        </w:trPr>
        <w:tc>
          <w:tcPr>
            <w:tcW w:w="403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51C4D" w:rsidRDefault="00F51C4D">
            <w:pPr>
              <w:spacing w:before="0" w:after="0"/>
              <w:ind w:hanging="709"/>
              <w:contextualSpacing/>
            </w:pPr>
            <w:r>
              <w:t>Ethnic Group</w:t>
            </w:r>
          </w:p>
        </w:tc>
        <w:tc>
          <w:tcPr>
            <w:tcW w:w="1677" w:type="dxa"/>
            <w:tcBorders>
              <w:top w:val="single" w:sz="4" w:space="0" w:color="auto"/>
              <w:left w:val="nil"/>
              <w:bottom w:val="single" w:sz="4" w:space="0" w:color="auto"/>
              <w:right w:val="single" w:sz="4" w:space="0" w:color="auto"/>
            </w:tcBorders>
            <w:shd w:val="clear" w:color="auto" w:fill="D9D9D9"/>
            <w:noWrap/>
            <w:vAlign w:val="bottom"/>
            <w:hideMark/>
          </w:tcPr>
          <w:p w:rsidR="00F51C4D" w:rsidRDefault="00F51C4D">
            <w:pPr>
              <w:spacing w:before="0" w:after="0"/>
              <w:ind w:left="267" w:hanging="267"/>
              <w:contextualSpacing/>
              <w:jc w:val="center"/>
            </w:pPr>
            <w:r>
              <w:t>All usual residents</w:t>
            </w:r>
          </w:p>
        </w:tc>
        <w:tc>
          <w:tcPr>
            <w:tcW w:w="1470" w:type="dxa"/>
            <w:tcBorders>
              <w:top w:val="single" w:sz="4" w:space="0" w:color="auto"/>
              <w:left w:val="nil"/>
              <w:bottom w:val="single" w:sz="4" w:space="0" w:color="auto"/>
              <w:right w:val="single" w:sz="4" w:space="0" w:color="auto"/>
            </w:tcBorders>
            <w:shd w:val="clear" w:color="auto" w:fill="D9D9D9"/>
            <w:noWrap/>
            <w:vAlign w:val="bottom"/>
            <w:hideMark/>
          </w:tcPr>
          <w:p w:rsidR="00F51C4D" w:rsidRDefault="00F51C4D">
            <w:pPr>
              <w:spacing w:before="0" w:after="0"/>
              <w:ind w:left="267" w:hanging="267"/>
              <w:contextualSpacing/>
              <w:jc w:val="center"/>
            </w:pPr>
            <w:r>
              <w:t>BME</w:t>
            </w:r>
          </w:p>
        </w:tc>
        <w:tc>
          <w:tcPr>
            <w:tcW w:w="1492" w:type="dxa"/>
            <w:tcBorders>
              <w:top w:val="single" w:sz="4" w:space="0" w:color="auto"/>
              <w:left w:val="nil"/>
              <w:bottom w:val="single" w:sz="4" w:space="0" w:color="auto"/>
              <w:right w:val="single" w:sz="4" w:space="0" w:color="auto"/>
            </w:tcBorders>
            <w:shd w:val="clear" w:color="auto" w:fill="D9D9D9"/>
            <w:noWrap/>
            <w:vAlign w:val="bottom"/>
            <w:hideMark/>
          </w:tcPr>
          <w:p w:rsidR="00F51C4D" w:rsidRDefault="00F51C4D">
            <w:pPr>
              <w:spacing w:before="0" w:after="0"/>
              <w:ind w:left="267" w:hanging="267"/>
              <w:contextualSpacing/>
              <w:jc w:val="center"/>
            </w:pPr>
            <w:r>
              <w:t>BME %</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Milton Keynes</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248821</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64887</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26.1</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Bletchley and Fenny Stratford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13581</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3601</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26.5</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Bradwell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12938</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4447</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34.4</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Campbell Park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16859</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8614</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51.1</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proofErr w:type="spellStart"/>
            <w:r>
              <w:t>Danesborough</w:t>
            </w:r>
            <w:proofErr w:type="spellEnd"/>
            <w:r>
              <w:t xml:space="preserve">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4672</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449</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9.6</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Denbigh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8062</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1549</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19.2</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Eaton Manor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8563</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1997</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23.3</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Emerson Valley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17896</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5199</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29.1</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proofErr w:type="spellStart"/>
            <w:r>
              <w:t>Furzton</w:t>
            </w:r>
            <w:proofErr w:type="spellEnd"/>
            <w:r>
              <w:t xml:space="preserve">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9148</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2659</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29.1</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proofErr w:type="spellStart"/>
            <w:r>
              <w:t>Hanslope</w:t>
            </w:r>
            <w:proofErr w:type="spellEnd"/>
            <w:r>
              <w:t xml:space="preserve"> Park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5132</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534</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10.4</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proofErr w:type="spellStart"/>
            <w:r>
              <w:t>Linford</w:t>
            </w:r>
            <w:proofErr w:type="spellEnd"/>
            <w:r>
              <w:t xml:space="preserve"> North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8397</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1524</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18.1</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proofErr w:type="spellStart"/>
            <w:r>
              <w:t>Linford</w:t>
            </w:r>
            <w:proofErr w:type="spellEnd"/>
            <w:r>
              <w:t xml:space="preserve"> South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9672</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3046</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31.5</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Loughton Park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18108</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5667</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31.3</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Middleton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15775</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5242</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33.2</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Newport Pagnell North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7392</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609</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8.2</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Newport Pagnell South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7726</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723</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9.4</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Olney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8735</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621</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7.1</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proofErr w:type="spellStart"/>
            <w:r>
              <w:t>Sherington</w:t>
            </w:r>
            <w:proofErr w:type="spellEnd"/>
            <w:r>
              <w:t xml:space="preserve">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4102</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311</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7.6</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Stantonbury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9469</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2506</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26.5</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Stony Stratford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12148</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2351</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19.4</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Walton Park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14559</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3870</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26.6</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proofErr w:type="spellStart"/>
            <w:r>
              <w:t>Whaddon</w:t>
            </w:r>
            <w:proofErr w:type="spellEnd"/>
            <w:r>
              <w:t xml:space="preserve">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8462</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1441</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17.0</w:t>
            </w:r>
          </w:p>
        </w:tc>
      </w:tr>
      <w:tr w:rsidR="00F51C4D" w:rsidTr="00F51C4D">
        <w:trPr>
          <w:trHeight w:val="334"/>
        </w:trPr>
        <w:tc>
          <w:tcPr>
            <w:tcW w:w="4035"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Wolverton Ward</w:t>
            </w:r>
          </w:p>
        </w:tc>
        <w:tc>
          <w:tcPr>
            <w:tcW w:w="1677"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15601</w:t>
            </w:r>
          </w:p>
        </w:tc>
        <w:tc>
          <w:tcPr>
            <w:tcW w:w="1470"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3940</w:t>
            </w:r>
          </w:p>
        </w:tc>
        <w:tc>
          <w:tcPr>
            <w:tcW w:w="1492"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jc w:val="center"/>
            </w:pPr>
            <w:r>
              <w:t>25.3</w:t>
            </w:r>
          </w:p>
        </w:tc>
      </w:tr>
      <w:tr w:rsidR="00F51C4D" w:rsidTr="00F51C4D">
        <w:trPr>
          <w:trHeight w:val="334"/>
        </w:trPr>
        <w:tc>
          <w:tcPr>
            <w:tcW w:w="403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Woughton Ward</w:t>
            </w:r>
          </w:p>
        </w:tc>
        <w:tc>
          <w:tcPr>
            <w:tcW w:w="167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11824</w:t>
            </w:r>
          </w:p>
        </w:tc>
        <w:tc>
          <w:tcPr>
            <w:tcW w:w="147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3987</w:t>
            </w:r>
          </w:p>
        </w:tc>
        <w:tc>
          <w:tcPr>
            <w:tcW w:w="1492"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jc w:val="center"/>
            </w:pPr>
            <w:r>
              <w:t>33.7</w:t>
            </w:r>
          </w:p>
        </w:tc>
      </w:tr>
    </w:tbl>
    <w:p w:rsidR="00F51C4D" w:rsidRDefault="00F51C4D" w:rsidP="00F51C4D">
      <w:pPr>
        <w:pStyle w:val="Heading3"/>
        <w:numPr>
          <w:ilvl w:val="2"/>
          <w:numId w:val="2"/>
        </w:numPr>
        <w:spacing w:before="0" w:after="0"/>
      </w:pPr>
      <w:r>
        <w:rPr>
          <w:bCs w:val="0"/>
        </w:rPr>
        <w:br w:type="page"/>
      </w:r>
      <w:r>
        <w:lastRenderedPageBreak/>
        <w:t>The table below shows pupil ethnicity breakdown by ward 2009 – 2013, compared to Milton Keynes average. The highlighted rows show where there are higher than Milton Keynes average density of ethnic minority pupils. There are 23 wards in Milton Keynes, nearly half of the wards (11) show a higher than Milton Keynes average. Campbell Park ward shows the highest proportions of BME with over half of the pupils from BME backgrounds.</w:t>
      </w:r>
    </w:p>
    <w:p w:rsidR="00F51C4D" w:rsidRDefault="00F51C4D" w:rsidP="00F51C4D">
      <w:pPr>
        <w:spacing w:before="0" w:after="0"/>
      </w:pPr>
    </w:p>
    <w:tbl>
      <w:tblPr>
        <w:tblW w:w="7773" w:type="dxa"/>
        <w:tblInd w:w="817" w:type="dxa"/>
        <w:tblLook w:val="04A0" w:firstRow="1" w:lastRow="0" w:firstColumn="1" w:lastColumn="0" w:noHBand="0" w:noVBand="1"/>
      </w:tblPr>
      <w:tblGrid>
        <w:gridCol w:w="3198"/>
        <w:gridCol w:w="915"/>
        <w:gridCol w:w="915"/>
        <w:gridCol w:w="915"/>
        <w:gridCol w:w="915"/>
        <w:gridCol w:w="915"/>
      </w:tblGrid>
      <w:tr w:rsidR="00F51C4D" w:rsidTr="00F51C4D">
        <w:trPr>
          <w:trHeight w:val="253"/>
          <w:tblHeader/>
        </w:trPr>
        <w:tc>
          <w:tcPr>
            <w:tcW w:w="7773"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51C4D" w:rsidRDefault="00F51C4D">
            <w:pPr>
              <w:spacing w:before="0" w:after="0"/>
              <w:ind w:hanging="709"/>
              <w:contextualSpacing/>
            </w:pPr>
            <w:r>
              <w:t xml:space="preserve">MK: Wards - Pupil Ethnicity % of pupils from BME groups </w:t>
            </w:r>
          </w:p>
          <w:p w:rsidR="00F51C4D" w:rsidRDefault="00F51C4D">
            <w:pPr>
              <w:spacing w:before="0" w:after="0"/>
              <w:ind w:hanging="709"/>
              <w:contextualSpacing/>
            </w:pPr>
            <w:r>
              <w:t>2009-2013: School Census</w:t>
            </w:r>
          </w:p>
        </w:tc>
      </w:tr>
      <w:tr w:rsidR="00F51C4D" w:rsidTr="00F51C4D">
        <w:trPr>
          <w:trHeight w:val="515"/>
          <w:tblHeader/>
        </w:trPr>
        <w:tc>
          <w:tcPr>
            <w:tcW w:w="31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51C4D" w:rsidRDefault="00F51C4D">
            <w:pPr>
              <w:spacing w:before="0" w:after="0"/>
              <w:ind w:hanging="709"/>
              <w:contextualSpacing/>
            </w:pPr>
            <w:r>
              <w:t>Milton Keynes and by Ward</w:t>
            </w:r>
          </w:p>
        </w:tc>
        <w:tc>
          <w:tcPr>
            <w:tcW w:w="915" w:type="dxa"/>
            <w:tcBorders>
              <w:top w:val="single" w:sz="4" w:space="0" w:color="auto"/>
              <w:left w:val="nil"/>
              <w:bottom w:val="single" w:sz="4" w:space="0" w:color="auto"/>
              <w:right w:val="single" w:sz="4" w:space="0" w:color="auto"/>
            </w:tcBorders>
            <w:shd w:val="clear" w:color="auto" w:fill="D9D9D9"/>
            <w:noWrap/>
            <w:vAlign w:val="center"/>
            <w:hideMark/>
          </w:tcPr>
          <w:p w:rsidR="00F51C4D" w:rsidRDefault="00F51C4D">
            <w:pPr>
              <w:spacing w:before="0" w:after="0"/>
              <w:ind w:hanging="709"/>
              <w:contextualSpacing/>
            </w:pPr>
            <w:r>
              <w:t>2009</w:t>
            </w:r>
          </w:p>
        </w:tc>
        <w:tc>
          <w:tcPr>
            <w:tcW w:w="915" w:type="dxa"/>
            <w:tcBorders>
              <w:top w:val="single" w:sz="4" w:space="0" w:color="auto"/>
              <w:left w:val="nil"/>
              <w:bottom w:val="single" w:sz="4" w:space="0" w:color="auto"/>
              <w:right w:val="single" w:sz="4" w:space="0" w:color="auto"/>
            </w:tcBorders>
            <w:shd w:val="clear" w:color="auto" w:fill="D9D9D9"/>
            <w:noWrap/>
            <w:vAlign w:val="center"/>
            <w:hideMark/>
          </w:tcPr>
          <w:p w:rsidR="00F51C4D" w:rsidRDefault="00F51C4D">
            <w:pPr>
              <w:spacing w:before="0" w:after="0"/>
              <w:ind w:hanging="709"/>
              <w:contextualSpacing/>
            </w:pPr>
            <w:r>
              <w:t>2010</w:t>
            </w:r>
          </w:p>
        </w:tc>
        <w:tc>
          <w:tcPr>
            <w:tcW w:w="915" w:type="dxa"/>
            <w:tcBorders>
              <w:top w:val="single" w:sz="4" w:space="0" w:color="auto"/>
              <w:left w:val="nil"/>
              <w:bottom w:val="single" w:sz="4" w:space="0" w:color="auto"/>
              <w:right w:val="single" w:sz="4" w:space="0" w:color="auto"/>
            </w:tcBorders>
            <w:shd w:val="clear" w:color="auto" w:fill="D9D9D9"/>
            <w:noWrap/>
            <w:vAlign w:val="center"/>
            <w:hideMark/>
          </w:tcPr>
          <w:p w:rsidR="00F51C4D" w:rsidRDefault="00F51C4D">
            <w:pPr>
              <w:spacing w:before="0" w:after="0"/>
              <w:ind w:hanging="709"/>
              <w:contextualSpacing/>
            </w:pPr>
            <w:r>
              <w:t>2011</w:t>
            </w:r>
          </w:p>
        </w:tc>
        <w:tc>
          <w:tcPr>
            <w:tcW w:w="915" w:type="dxa"/>
            <w:tcBorders>
              <w:top w:val="single" w:sz="4" w:space="0" w:color="auto"/>
              <w:left w:val="nil"/>
              <w:bottom w:val="single" w:sz="4" w:space="0" w:color="auto"/>
              <w:right w:val="single" w:sz="4" w:space="0" w:color="auto"/>
            </w:tcBorders>
            <w:shd w:val="clear" w:color="auto" w:fill="D9D9D9"/>
            <w:noWrap/>
            <w:vAlign w:val="center"/>
            <w:hideMark/>
          </w:tcPr>
          <w:p w:rsidR="00F51C4D" w:rsidRDefault="00F51C4D">
            <w:pPr>
              <w:spacing w:before="0" w:after="0"/>
              <w:ind w:hanging="709"/>
              <w:contextualSpacing/>
            </w:pPr>
            <w:r>
              <w:t>2012</w:t>
            </w:r>
          </w:p>
        </w:tc>
        <w:tc>
          <w:tcPr>
            <w:tcW w:w="915" w:type="dxa"/>
            <w:tcBorders>
              <w:top w:val="single" w:sz="4" w:space="0" w:color="auto"/>
              <w:left w:val="nil"/>
              <w:bottom w:val="single" w:sz="4" w:space="0" w:color="auto"/>
              <w:right w:val="single" w:sz="4" w:space="0" w:color="auto"/>
            </w:tcBorders>
            <w:shd w:val="clear" w:color="auto" w:fill="D9D9D9"/>
            <w:noWrap/>
            <w:vAlign w:val="center"/>
            <w:hideMark/>
          </w:tcPr>
          <w:p w:rsidR="00F51C4D" w:rsidRDefault="00F51C4D">
            <w:pPr>
              <w:spacing w:before="0" w:after="0"/>
              <w:ind w:hanging="709"/>
              <w:contextualSpacing/>
            </w:pPr>
            <w:r>
              <w:t>2013</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Milton Keynes</w:t>
            </w:r>
          </w:p>
        </w:tc>
        <w:tc>
          <w:tcPr>
            <w:tcW w:w="915" w:type="dxa"/>
            <w:tcBorders>
              <w:top w:val="single" w:sz="4" w:space="0" w:color="auto"/>
              <w:left w:val="nil"/>
              <w:bottom w:val="single" w:sz="4" w:space="0" w:color="auto"/>
              <w:right w:val="single" w:sz="4" w:space="0" w:color="auto"/>
            </w:tcBorders>
            <w:noWrap/>
            <w:vAlign w:val="bottom"/>
            <w:hideMark/>
          </w:tcPr>
          <w:p w:rsidR="00F51C4D" w:rsidRDefault="00F51C4D">
            <w:pPr>
              <w:spacing w:before="0" w:after="0"/>
              <w:ind w:hanging="709"/>
              <w:contextualSpacing/>
            </w:pPr>
            <w:r>
              <w:t>29.2</w:t>
            </w:r>
          </w:p>
        </w:tc>
        <w:tc>
          <w:tcPr>
            <w:tcW w:w="915" w:type="dxa"/>
            <w:tcBorders>
              <w:top w:val="single" w:sz="4" w:space="0" w:color="auto"/>
              <w:left w:val="nil"/>
              <w:bottom w:val="single" w:sz="4" w:space="0" w:color="auto"/>
              <w:right w:val="single" w:sz="4" w:space="0" w:color="auto"/>
            </w:tcBorders>
            <w:noWrap/>
            <w:vAlign w:val="bottom"/>
            <w:hideMark/>
          </w:tcPr>
          <w:p w:rsidR="00F51C4D" w:rsidRDefault="00F51C4D">
            <w:pPr>
              <w:spacing w:before="0" w:after="0"/>
              <w:ind w:hanging="709"/>
              <w:contextualSpacing/>
            </w:pPr>
            <w:r>
              <w:t>31</w:t>
            </w:r>
          </w:p>
        </w:tc>
        <w:tc>
          <w:tcPr>
            <w:tcW w:w="915" w:type="dxa"/>
            <w:tcBorders>
              <w:top w:val="single" w:sz="4" w:space="0" w:color="auto"/>
              <w:left w:val="nil"/>
              <w:bottom w:val="single" w:sz="4" w:space="0" w:color="auto"/>
              <w:right w:val="single" w:sz="4" w:space="0" w:color="auto"/>
            </w:tcBorders>
            <w:noWrap/>
            <w:vAlign w:val="bottom"/>
            <w:hideMark/>
          </w:tcPr>
          <w:p w:rsidR="00F51C4D" w:rsidRDefault="00F51C4D">
            <w:pPr>
              <w:spacing w:before="0" w:after="0"/>
              <w:ind w:hanging="709"/>
              <w:contextualSpacing/>
            </w:pPr>
            <w:r>
              <w:t>32.8</w:t>
            </w:r>
          </w:p>
        </w:tc>
        <w:tc>
          <w:tcPr>
            <w:tcW w:w="915" w:type="dxa"/>
            <w:tcBorders>
              <w:top w:val="single" w:sz="4" w:space="0" w:color="auto"/>
              <w:left w:val="nil"/>
              <w:bottom w:val="single" w:sz="4" w:space="0" w:color="auto"/>
              <w:right w:val="single" w:sz="4" w:space="0" w:color="auto"/>
            </w:tcBorders>
            <w:noWrap/>
            <w:vAlign w:val="bottom"/>
            <w:hideMark/>
          </w:tcPr>
          <w:p w:rsidR="00F51C4D" w:rsidRDefault="00F51C4D">
            <w:pPr>
              <w:spacing w:before="0" w:after="0"/>
              <w:ind w:hanging="709"/>
              <w:contextualSpacing/>
            </w:pPr>
            <w:r>
              <w:t>34.1</w:t>
            </w:r>
          </w:p>
        </w:tc>
        <w:tc>
          <w:tcPr>
            <w:tcW w:w="915" w:type="dxa"/>
            <w:tcBorders>
              <w:top w:val="single" w:sz="4" w:space="0" w:color="auto"/>
              <w:left w:val="nil"/>
              <w:bottom w:val="single" w:sz="4" w:space="0" w:color="auto"/>
              <w:right w:val="single" w:sz="4" w:space="0" w:color="auto"/>
            </w:tcBorders>
            <w:noWrap/>
            <w:vAlign w:val="bottom"/>
            <w:hideMark/>
          </w:tcPr>
          <w:p w:rsidR="00F51C4D" w:rsidRDefault="00F51C4D">
            <w:pPr>
              <w:spacing w:before="0" w:after="0"/>
              <w:ind w:hanging="709"/>
              <w:contextualSpacing/>
            </w:pPr>
            <w:r>
              <w:t>35.3</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Bletchley and Fenny Stratford</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35.6</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35.3</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35.8</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37</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38.8</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Bradwell</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38.1</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39.1</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43.8</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46</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47.8</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Campbell Park</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50.6</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56.2</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59.4</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58.7</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60.3</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proofErr w:type="spellStart"/>
            <w:r>
              <w:t>Danesborough</w:t>
            </w:r>
            <w:proofErr w:type="spellEnd"/>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16.2</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17.5</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13.5</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16.7</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14.3</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Denbigh</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23.1</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24.3</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25</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26.5</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28.5</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Eaton Manor</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30</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32.7</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34.1</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35.2</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37.2</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Emerson Valley</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30.2</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31.1</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32.8</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33.9</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34.1</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proofErr w:type="spellStart"/>
            <w:r>
              <w:t>Furzton</w:t>
            </w:r>
            <w:proofErr w:type="spellEnd"/>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29.6</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32.3</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34.7</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36.1</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35.5</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proofErr w:type="spellStart"/>
            <w:r>
              <w:t>Hanslope</w:t>
            </w:r>
            <w:proofErr w:type="spellEnd"/>
            <w:r>
              <w:t xml:space="preserve"> Park</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7.8</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8.9</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15.7</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16.5</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18.2</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proofErr w:type="spellStart"/>
            <w:r>
              <w:t>Linford</w:t>
            </w:r>
            <w:proofErr w:type="spellEnd"/>
            <w:r>
              <w:t xml:space="preserve"> North</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24.5</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25</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26.1</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29.5</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29.1</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proofErr w:type="spellStart"/>
            <w:r>
              <w:t>Linford</w:t>
            </w:r>
            <w:proofErr w:type="spellEnd"/>
            <w:r>
              <w:t xml:space="preserve"> South</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38.9</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41.1</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41.9</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45.8</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47</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Loughton Park</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29.9</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31.5</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34</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35.2</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36.3</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Middleton</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32</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33.5</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35.1</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36.8</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38.1</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Newport Pagnell North</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8.7</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11</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10.6</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10.4</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10.7</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Newport Pagnell South</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9.3</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10.7</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10.4</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11.7</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11.8</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Olney</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7.7</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7.9</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9.1</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7.4</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7.4</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proofErr w:type="spellStart"/>
            <w:r>
              <w:t>Sherington</w:t>
            </w:r>
            <w:proofErr w:type="spellEnd"/>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9.6</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11.6</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12.5</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10.9</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11.6</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Stantonbury</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31.7</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32.6</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35.8</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37</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38.7</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Stony Stratford</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28</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30</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30.6</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30.8</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33.3</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Walton Park</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25.7</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27</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28.1</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30</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30.3</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proofErr w:type="spellStart"/>
            <w:r>
              <w:t>Whaddon</w:t>
            </w:r>
            <w:proofErr w:type="spellEnd"/>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18.7</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21.3</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23.1</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24.2</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26.1</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Wolverton</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34.3</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36.4</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38.1</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38</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38.7</w:t>
            </w:r>
          </w:p>
        </w:tc>
      </w:tr>
      <w:tr w:rsidR="00F51C4D" w:rsidTr="00F51C4D">
        <w:trPr>
          <w:trHeight w:val="253"/>
        </w:trPr>
        <w:tc>
          <w:tcPr>
            <w:tcW w:w="319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Woughton</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34.7</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39.4</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42.3</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40.4</w:t>
            </w:r>
          </w:p>
        </w:tc>
        <w:tc>
          <w:tcPr>
            <w:tcW w:w="915"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F51C4D" w:rsidRDefault="00F51C4D">
            <w:pPr>
              <w:spacing w:before="0" w:after="0"/>
              <w:ind w:hanging="709"/>
              <w:contextualSpacing/>
            </w:pPr>
            <w:r>
              <w:t>43.5</w:t>
            </w:r>
          </w:p>
        </w:tc>
      </w:tr>
      <w:tr w:rsidR="00F51C4D" w:rsidTr="00F51C4D">
        <w:trPr>
          <w:trHeight w:val="253"/>
        </w:trPr>
        <w:tc>
          <w:tcPr>
            <w:tcW w:w="3198" w:type="dxa"/>
            <w:tcBorders>
              <w:top w:val="nil"/>
              <w:left w:val="single" w:sz="4" w:space="0" w:color="auto"/>
              <w:bottom w:val="single" w:sz="4" w:space="0" w:color="auto"/>
              <w:right w:val="single" w:sz="4" w:space="0" w:color="auto"/>
            </w:tcBorders>
            <w:noWrap/>
            <w:vAlign w:val="bottom"/>
            <w:hideMark/>
          </w:tcPr>
          <w:p w:rsidR="00F51C4D" w:rsidRDefault="00F51C4D">
            <w:pPr>
              <w:spacing w:before="0" w:after="0"/>
              <w:ind w:hanging="709"/>
              <w:contextualSpacing/>
            </w:pPr>
            <w:r>
              <w:t>Unknown</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23.9</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33.7</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31.3</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22.5</w:t>
            </w:r>
          </w:p>
        </w:tc>
        <w:tc>
          <w:tcPr>
            <w:tcW w:w="915" w:type="dxa"/>
            <w:tcBorders>
              <w:top w:val="nil"/>
              <w:left w:val="nil"/>
              <w:bottom w:val="single" w:sz="4" w:space="0" w:color="auto"/>
              <w:right w:val="single" w:sz="4" w:space="0" w:color="auto"/>
            </w:tcBorders>
            <w:noWrap/>
            <w:vAlign w:val="bottom"/>
            <w:hideMark/>
          </w:tcPr>
          <w:p w:rsidR="00F51C4D" w:rsidRDefault="00F51C4D">
            <w:pPr>
              <w:spacing w:before="0" w:after="0"/>
              <w:ind w:hanging="709"/>
              <w:contextualSpacing/>
            </w:pPr>
            <w:r>
              <w:t>19.6</w:t>
            </w:r>
          </w:p>
        </w:tc>
      </w:tr>
    </w:tbl>
    <w:p w:rsidR="00F51C4D" w:rsidRDefault="00F51C4D" w:rsidP="00F51C4D">
      <w:pPr>
        <w:spacing w:before="0" w:after="0"/>
      </w:pPr>
    </w:p>
    <w:p w:rsidR="00F51C4D" w:rsidRDefault="00F51C4D" w:rsidP="00F51C4D">
      <w:pPr>
        <w:pStyle w:val="Heading2"/>
        <w:numPr>
          <w:ilvl w:val="1"/>
          <w:numId w:val="2"/>
        </w:numPr>
      </w:pPr>
      <w:r>
        <w:rPr>
          <w:b/>
        </w:rPr>
        <w:t>BME representation amongst key services across Milton Keynes</w:t>
      </w:r>
    </w:p>
    <w:p w:rsidR="00F51C4D" w:rsidRDefault="00F51C4D" w:rsidP="00F51C4D">
      <w:pPr>
        <w:ind w:left="567"/>
      </w:pPr>
      <w:r>
        <w:t>The tables below highlight the proportions of BME staff amongst key services within Milton Keynes; this includes community health staff,</w:t>
      </w:r>
      <w:r>
        <w:rPr>
          <w:vertAlign w:val="superscript"/>
        </w:rPr>
        <w:footnoteReference w:id="10"/>
      </w:r>
      <w:r>
        <w:t xml:space="preserve"> childcare staff, school staff, and Milton Keynes Council staff.</w:t>
      </w:r>
    </w:p>
    <w:p w:rsidR="00F51C4D" w:rsidRDefault="00F51C4D" w:rsidP="00F51C4D">
      <w:pPr>
        <w:spacing w:before="0" w:after="0"/>
      </w:pPr>
    </w:p>
    <w:p w:rsidR="00F51C4D" w:rsidRDefault="00F51C4D" w:rsidP="00F51C4D">
      <w:pPr>
        <w:pStyle w:val="Heading3"/>
        <w:numPr>
          <w:ilvl w:val="2"/>
          <w:numId w:val="2"/>
        </w:numPr>
      </w:pPr>
      <w:r>
        <w:rPr>
          <w:b/>
        </w:rPr>
        <w:lastRenderedPageBreak/>
        <w:t>BME</w:t>
      </w:r>
      <w:r>
        <w:t xml:space="preserve"> </w:t>
      </w:r>
      <w:r>
        <w:rPr>
          <w:b/>
        </w:rPr>
        <w:t>representation amongst community health staff</w:t>
      </w:r>
    </w:p>
    <w:p w:rsidR="00F51C4D" w:rsidRDefault="00F51C4D" w:rsidP="00F51C4D">
      <w:pPr>
        <w:pStyle w:val="Heading3"/>
        <w:numPr>
          <w:ilvl w:val="2"/>
          <w:numId w:val="2"/>
        </w:numPr>
      </w:pPr>
      <w:r>
        <w:t xml:space="preserve">The table below shows that 18.41% of staff </w:t>
      </w:r>
      <w:proofErr w:type="gramStart"/>
      <w:r>
        <w:t>are</w:t>
      </w:r>
      <w:proofErr w:type="gramEnd"/>
      <w:r>
        <w:t xml:space="preserve"> from a BME background.</w:t>
      </w:r>
    </w:p>
    <w:p w:rsidR="00F51C4D" w:rsidRDefault="00F51C4D" w:rsidP="00F51C4D">
      <w:pPr>
        <w:spacing w:before="0" w:after="0"/>
      </w:pPr>
    </w:p>
    <w:tbl>
      <w:tblPr>
        <w:tblW w:w="9021" w:type="dxa"/>
        <w:jc w:val="center"/>
        <w:tblCellSpacing w:w="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4"/>
        <w:gridCol w:w="1701"/>
        <w:gridCol w:w="709"/>
        <w:gridCol w:w="1843"/>
        <w:gridCol w:w="850"/>
        <w:gridCol w:w="1418"/>
        <w:gridCol w:w="1026"/>
      </w:tblGrid>
      <w:tr w:rsidR="00F51C4D" w:rsidTr="00F51C4D">
        <w:trPr>
          <w:trHeight w:val="297"/>
          <w:tblCellSpacing w:w="0" w:type="dxa"/>
          <w:jc w:val="center"/>
        </w:trPr>
        <w:tc>
          <w:tcPr>
            <w:tcW w:w="9021" w:type="dxa"/>
            <w:gridSpan w:val="7"/>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jc w:val="left"/>
            </w:pPr>
            <w:r>
              <w:t>Proportion of BME staff amongst community health staff</w:t>
            </w:r>
          </w:p>
        </w:tc>
      </w:tr>
      <w:tr w:rsidR="00F51C4D" w:rsidTr="00F51C4D">
        <w:trPr>
          <w:trHeight w:val="662"/>
          <w:tblCellSpacing w:w="0" w:type="dxa"/>
          <w:jc w:val="center"/>
        </w:trPr>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ind w:left="44"/>
              <w:jc w:val="center"/>
            </w:pPr>
            <w:r>
              <w:t>No. of staff</w:t>
            </w:r>
          </w:p>
          <w:p w:rsidR="00F51C4D" w:rsidRDefault="00F51C4D">
            <w:pPr>
              <w:ind w:left="44"/>
              <w:jc w:val="center"/>
            </w:pPr>
            <w:r>
              <w:t>in MKCHS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left="0"/>
              <w:contextualSpacing/>
              <w:jc w:val="center"/>
            </w:pPr>
            <w:r>
              <w:t>No. of BME staff</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jc w:val="center"/>
            </w:pPr>
            <w:r>
              <w:t>%</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jc w:val="center"/>
            </w:pPr>
            <w:r>
              <w:t>Non BME staff</w:t>
            </w:r>
          </w:p>
          <w:p w:rsidR="00F51C4D" w:rsidRDefault="00F51C4D">
            <w:pPr>
              <w:spacing w:before="0" w:after="0"/>
              <w:ind w:hanging="709"/>
              <w:contextualSpacing/>
              <w:jc w:val="center"/>
            </w:pPr>
            <w:r>
              <w:t>(</w:t>
            </w:r>
            <w:proofErr w:type="spellStart"/>
            <w:r>
              <w:t>inc.</w:t>
            </w:r>
            <w:proofErr w:type="spellEnd"/>
            <w:r>
              <w:t xml:space="preserve"> white other)</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spacing w:before="0" w:after="0"/>
              <w:ind w:hanging="709"/>
              <w:contextualSpacing/>
              <w:jc w:val="center"/>
            </w:pPr>
            <w:r>
              <w:t>Unknown</w:t>
            </w:r>
          </w:p>
        </w:tc>
        <w:tc>
          <w:tcPr>
            <w:tcW w:w="1026" w:type="dxa"/>
            <w:tcBorders>
              <w:top w:val="single" w:sz="4" w:space="0" w:color="auto"/>
              <w:left w:val="single" w:sz="4" w:space="0" w:color="auto"/>
              <w:bottom w:val="single" w:sz="4" w:space="0" w:color="auto"/>
              <w:right w:val="single" w:sz="4" w:space="0" w:color="auto"/>
            </w:tcBorders>
            <w:shd w:val="clear" w:color="auto" w:fill="D9D9D9"/>
            <w:hideMark/>
          </w:tcPr>
          <w:p w:rsidR="00F51C4D" w:rsidRDefault="00F51C4D">
            <w:pPr>
              <w:jc w:val="center"/>
            </w:pPr>
            <w:r>
              <w:t>%</w:t>
            </w:r>
          </w:p>
        </w:tc>
      </w:tr>
      <w:tr w:rsidR="00F51C4D" w:rsidTr="00F51C4D">
        <w:trPr>
          <w:trHeight w:val="274"/>
          <w:tblCellSpacing w:w="0" w:type="dxa"/>
          <w:jc w:val="center"/>
        </w:trPr>
        <w:tc>
          <w:tcPr>
            <w:tcW w:w="1474"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1206</w:t>
            </w:r>
          </w:p>
        </w:tc>
        <w:tc>
          <w:tcPr>
            <w:tcW w:w="1701"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222</w:t>
            </w:r>
          </w:p>
        </w:tc>
        <w:tc>
          <w:tcPr>
            <w:tcW w:w="709"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18.41</w:t>
            </w:r>
          </w:p>
        </w:tc>
        <w:tc>
          <w:tcPr>
            <w:tcW w:w="1843"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952</w:t>
            </w:r>
          </w:p>
        </w:tc>
        <w:tc>
          <w:tcPr>
            <w:tcW w:w="850"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78.2</w:t>
            </w:r>
          </w:p>
        </w:tc>
        <w:tc>
          <w:tcPr>
            <w:tcW w:w="1418"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32</w:t>
            </w:r>
          </w:p>
        </w:tc>
        <w:tc>
          <w:tcPr>
            <w:tcW w:w="1026" w:type="dxa"/>
            <w:tcBorders>
              <w:top w:val="single" w:sz="4" w:space="0" w:color="auto"/>
              <w:left w:val="single" w:sz="4" w:space="0" w:color="auto"/>
              <w:bottom w:val="single" w:sz="4" w:space="0" w:color="auto"/>
              <w:right w:val="single" w:sz="4" w:space="0" w:color="auto"/>
            </w:tcBorders>
            <w:hideMark/>
          </w:tcPr>
          <w:p w:rsidR="00F51C4D" w:rsidRDefault="00F51C4D">
            <w:pPr>
              <w:spacing w:before="0" w:after="0"/>
              <w:ind w:hanging="709"/>
              <w:contextualSpacing/>
              <w:jc w:val="center"/>
            </w:pPr>
            <w:r>
              <w:t>2.65</w:t>
            </w:r>
          </w:p>
        </w:tc>
      </w:tr>
    </w:tbl>
    <w:p w:rsidR="00F51C4D" w:rsidRDefault="00F51C4D" w:rsidP="00F51C4D">
      <w:pPr>
        <w:pStyle w:val="Heading2"/>
        <w:numPr>
          <w:ilvl w:val="0"/>
          <w:numId w:val="0"/>
        </w:numPr>
        <w:ind w:left="718"/>
      </w:pPr>
    </w:p>
    <w:p w:rsidR="00F51C4D" w:rsidRDefault="00F51C4D" w:rsidP="00F51C4D">
      <w:pPr>
        <w:pStyle w:val="Heading2"/>
        <w:numPr>
          <w:ilvl w:val="1"/>
          <w:numId w:val="2"/>
        </w:numPr>
        <w:rPr>
          <w:b/>
        </w:rPr>
      </w:pPr>
      <w:r>
        <w:rPr>
          <w:b/>
        </w:rPr>
        <w:t>BME representation amongst childcare staff</w:t>
      </w:r>
    </w:p>
    <w:p w:rsidR="00F51C4D" w:rsidRDefault="00F51C4D" w:rsidP="00F51C4D">
      <w:pPr>
        <w:pStyle w:val="Heading3"/>
        <w:numPr>
          <w:ilvl w:val="2"/>
          <w:numId w:val="2"/>
        </w:numPr>
      </w:pPr>
      <w:r>
        <w:t>The table below shows that amongst the different types of childcare providers, White/British represent the largest group (e.g. over 80%). Other groups with a higher representation, particularly within the pre-school and nursery forms of childcare, are:</w:t>
      </w:r>
    </w:p>
    <w:tbl>
      <w:tblPr>
        <w:tblW w:w="9246" w:type="dxa"/>
        <w:tblInd w:w="720" w:type="dxa"/>
        <w:tblLook w:val="04A0" w:firstRow="1" w:lastRow="0" w:firstColumn="1" w:lastColumn="0" w:noHBand="0" w:noVBand="1"/>
      </w:tblPr>
      <w:tblGrid>
        <w:gridCol w:w="1530"/>
        <w:gridCol w:w="1415"/>
        <w:gridCol w:w="786"/>
        <w:gridCol w:w="65"/>
        <w:gridCol w:w="992"/>
        <w:gridCol w:w="923"/>
        <w:gridCol w:w="1121"/>
        <w:gridCol w:w="936"/>
        <w:gridCol w:w="481"/>
        <w:gridCol w:w="997"/>
      </w:tblGrid>
      <w:tr w:rsidR="00F51C4D" w:rsidTr="00F51C4D">
        <w:trPr>
          <w:gridAfter w:val="2"/>
          <w:wAfter w:w="1478" w:type="dxa"/>
        </w:trPr>
        <w:tc>
          <w:tcPr>
            <w:tcW w:w="3731" w:type="dxa"/>
            <w:gridSpan w:val="3"/>
            <w:hideMark/>
          </w:tcPr>
          <w:p w:rsidR="00F51C4D" w:rsidRDefault="00F51C4D">
            <w:pPr>
              <w:pStyle w:val="ListParagraph"/>
              <w:numPr>
                <w:ilvl w:val="0"/>
                <w:numId w:val="30"/>
              </w:numPr>
              <w:spacing w:before="0" w:after="0"/>
              <w:jc w:val="left"/>
            </w:pPr>
            <w:r>
              <w:t>White Irish</w:t>
            </w:r>
          </w:p>
        </w:tc>
        <w:tc>
          <w:tcPr>
            <w:tcW w:w="4037" w:type="dxa"/>
            <w:gridSpan w:val="5"/>
            <w:hideMark/>
          </w:tcPr>
          <w:p w:rsidR="00F51C4D" w:rsidRDefault="00F51C4D">
            <w:pPr>
              <w:pStyle w:val="ListParagraph"/>
              <w:numPr>
                <w:ilvl w:val="0"/>
                <w:numId w:val="30"/>
              </w:numPr>
              <w:spacing w:before="0" w:after="0"/>
              <w:jc w:val="left"/>
            </w:pPr>
            <w:r>
              <w:t>White/other</w:t>
            </w:r>
          </w:p>
        </w:tc>
      </w:tr>
      <w:tr w:rsidR="00F51C4D" w:rsidTr="00F51C4D">
        <w:trPr>
          <w:gridAfter w:val="2"/>
          <w:wAfter w:w="1478" w:type="dxa"/>
        </w:trPr>
        <w:tc>
          <w:tcPr>
            <w:tcW w:w="3731" w:type="dxa"/>
            <w:gridSpan w:val="3"/>
            <w:hideMark/>
          </w:tcPr>
          <w:p w:rsidR="00F51C4D" w:rsidRDefault="00F51C4D">
            <w:pPr>
              <w:pStyle w:val="ListParagraph"/>
              <w:numPr>
                <w:ilvl w:val="0"/>
                <w:numId w:val="30"/>
              </w:numPr>
              <w:spacing w:before="0" w:after="0"/>
              <w:jc w:val="left"/>
            </w:pPr>
            <w:r>
              <w:t>Asian Pakistani / Asian other</w:t>
            </w:r>
          </w:p>
        </w:tc>
        <w:tc>
          <w:tcPr>
            <w:tcW w:w="4037" w:type="dxa"/>
            <w:gridSpan w:val="5"/>
            <w:hideMark/>
          </w:tcPr>
          <w:p w:rsidR="00F51C4D" w:rsidRDefault="00F51C4D">
            <w:pPr>
              <w:pStyle w:val="ListParagraph"/>
              <w:numPr>
                <w:ilvl w:val="0"/>
                <w:numId w:val="30"/>
              </w:numPr>
              <w:spacing w:before="0" w:after="0"/>
              <w:jc w:val="left"/>
            </w:pPr>
            <w:r>
              <w:t>Mixed white / Black Caribbean</w:t>
            </w:r>
          </w:p>
        </w:tc>
      </w:tr>
      <w:tr w:rsidR="00F51C4D" w:rsidTr="00F51C4D">
        <w:trPr>
          <w:gridAfter w:val="2"/>
          <w:wAfter w:w="1478" w:type="dxa"/>
        </w:trPr>
        <w:tc>
          <w:tcPr>
            <w:tcW w:w="3731" w:type="dxa"/>
            <w:gridSpan w:val="3"/>
            <w:hideMark/>
          </w:tcPr>
          <w:p w:rsidR="00F51C4D" w:rsidRDefault="00F51C4D">
            <w:pPr>
              <w:pStyle w:val="ListParagraph"/>
              <w:numPr>
                <w:ilvl w:val="0"/>
                <w:numId w:val="30"/>
              </w:numPr>
              <w:spacing w:before="0" w:after="0"/>
              <w:jc w:val="left"/>
            </w:pPr>
            <w:r>
              <w:t>Black Caribbean</w:t>
            </w:r>
          </w:p>
        </w:tc>
        <w:tc>
          <w:tcPr>
            <w:tcW w:w="4037" w:type="dxa"/>
            <w:gridSpan w:val="5"/>
          </w:tcPr>
          <w:p w:rsidR="00F51C4D" w:rsidRDefault="00F51C4D">
            <w:pPr>
              <w:pStyle w:val="ListParagraph"/>
              <w:numPr>
                <w:ilvl w:val="0"/>
                <w:numId w:val="30"/>
              </w:numPr>
              <w:spacing w:before="0" w:after="0"/>
              <w:jc w:val="left"/>
            </w:pPr>
            <w:r>
              <w:t xml:space="preserve">Black African </w:t>
            </w:r>
          </w:p>
          <w:p w:rsidR="00F51C4D" w:rsidRDefault="00F51C4D">
            <w:pPr>
              <w:spacing w:before="0" w:after="0"/>
              <w:ind w:hanging="709"/>
              <w:contextualSpacing/>
              <w:jc w:val="left"/>
            </w:pPr>
          </w:p>
        </w:tc>
      </w:tr>
      <w:tr w:rsidR="00F51C4D" w:rsidTr="00F51C4D">
        <w:trPr>
          <w:cantSplit/>
        </w:trPr>
        <w:tc>
          <w:tcPr>
            <w:tcW w:w="9246" w:type="dxa"/>
            <w:gridSpan w:val="10"/>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Proportion of BME staff amongst childcare staff</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tcPr>
          <w:p w:rsidR="00F51C4D" w:rsidRDefault="00F51C4D">
            <w:pPr>
              <w:spacing w:before="0" w:after="0"/>
              <w:ind w:left="174" w:hanging="174"/>
              <w:contextualSpacing/>
              <w:jc w:val="left"/>
              <w:rPr>
                <w:sz w:val="20"/>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hideMark/>
          </w:tcPr>
          <w:p w:rsidR="00F51C4D" w:rsidRDefault="00F51C4D">
            <w:pPr>
              <w:spacing w:before="0" w:after="0"/>
              <w:ind w:left="0" w:firstLine="25"/>
              <w:contextualSpacing/>
              <w:jc w:val="center"/>
              <w:rPr>
                <w:sz w:val="20"/>
                <w:szCs w:val="20"/>
              </w:rPr>
            </w:pPr>
            <w:proofErr w:type="spellStart"/>
            <w:r>
              <w:rPr>
                <w:sz w:val="20"/>
                <w:szCs w:val="20"/>
              </w:rPr>
              <w:t>Childminder</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hideMark/>
          </w:tcPr>
          <w:p w:rsidR="00F51C4D" w:rsidRDefault="00F51C4D">
            <w:pPr>
              <w:spacing w:before="0" w:after="0"/>
              <w:ind w:left="0" w:firstLine="25"/>
              <w:contextualSpacing/>
              <w:jc w:val="center"/>
              <w:rPr>
                <w:sz w:val="20"/>
                <w:szCs w:val="20"/>
              </w:rPr>
            </w:pPr>
            <w:r>
              <w:rPr>
                <w:sz w:val="20"/>
                <w:szCs w:val="20"/>
              </w:rPr>
              <w:t>Crèche</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hideMark/>
          </w:tcPr>
          <w:p w:rsidR="00F51C4D" w:rsidRDefault="00F51C4D">
            <w:pPr>
              <w:spacing w:before="0" w:after="0"/>
              <w:ind w:left="0" w:firstLine="25"/>
              <w:contextualSpacing/>
              <w:jc w:val="center"/>
              <w:rPr>
                <w:sz w:val="20"/>
                <w:szCs w:val="20"/>
              </w:rPr>
            </w:pPr>
            <w:r>
              <w:rPr>
                <w:sz w:val="20"/>
                <w:szCs w:val="20"/>
              </w:rPr>
              <w:t>Pre-School</w:t>
            </w:r>
          </w:p>
        </w:tc>
        <w:tc>
          <w:tcPr>
            <w:tcW w:w="923"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hideMark/>
          </w:tcPr>
          <w:p w:rsidR="00F51C4D" w:rsidRDefault="00F51C4D">
            <w:pPr>
              <w:spacing w:before="0" w:after="0"/>
              <w:ind w:left="0" w:firstLine="25"/>
              <w:contextualSpacing/>
              <w:jc w:val="center"/>
              <w:rPr>
                <w:sz w:val="20"/>
                <w:szCs w:val="20"/>
              </w:rPr>
            </w:pPr>
            <w:r>
              <w:rPr>
                <w:sz w:val="20"/>
                <w:szCs w:val="20"/>
              </w:rPr>
              <w:t>Nursery</w:t>
            </w:r>
          </w:p>
        </w:tc>
        <w:tc>
          <w:tcPr>
            <w:tcW w:w="1121"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hideMark/>
          </w:tcPr>
          <w:p w:rsidR="00F51C4D" w:rsidRDefault="00F51C4D">
            <w:pPr>
              <w:spacing w:before="0" w:after="0"/>
              <w:ind w:left="0" w:firstLine="25"/>
              <w:contextualSpacing/>
              <w:jc w:val="center"/>
              <w:rPr>
                <w:sz w:val="20"/>
                <w:szCs w:val="20"/>
              </w:rPr>
            </w:pPr>
            <w:r>
              <w:rPr>
                <w:sz w:val="20"/>
                <w:szCs w:val="20"/>
              </w:rPr>
              <w:t>Out of School</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hideMark/>
          </w:tcPr>
          <w:p w:rsidR="00F51C4D" w:rsidRDefault="00F51C4D">
            <w:pPr>
              <w:spacing w:before="0" w:after="0"/>
              <w:ind w:left="0" w:firstLine="25"/>
              <w:contextualSpacing/>
              <w:jc w:val="center"/>
              <w:rPr>
                <w:sz w:val="20"/>
                <w:szCs w:val="20"/>
              </w:rPr>
            </w:pPr>
            <w:proofErr w:type="spellStart"/>
            <w:r>
              <w:rPr>
                <w:sz w:val="20"/>
                <w:szCs w:val="20"/>
              </w:rPr>
              <w:t>Playscheme</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hideMark/>
          </w:tcPr>
          <w:p w:rsidR="00F51C4D" w:rsidRDefault="00F51C4D">
            <w:pPr>
              <w:spacing w:before="0" w:after="0"/>
              <w:ind w:left="0" w:firstLine="25"/>
              <w:contextualSpacing/>
              <w:jc w:val="center"/>
              <w:rPr>
                <w:sz w:val="20"/>
                <w:szCs w:val="20"/>
              </w:rPr>
            </w:pPr>
            <w:r>
              <w:rPr>
                <w:sz w:val="20"/>
                <w:szCs w:val="20"/>
              </w:rPr>
              <w:t>Other</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White/British</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94</w:t>
            </w:r>
          </w:p>
          <w:p w:rsidR="00F51C4D" w:rsidRDefault="00F51C4D">
            <w:pPr>
              <w:spacing w:before="0" w:after="0"/>
              <w:ind w:left="174" w:hanging="174"/>
              <w:contextualSpacing/>
              <w:jc w:val="center"/>
              <w:rPr>
                <w:sz w:val="20"/>
                <w:szCs w:val="20"/>
              </w:rPr>
            </w:pPr>
            <w:r>
              <w:rPr>
                <w:sz w:val="20"/>
                <w:szCs w:val="20"/>
              </w:rPr>
              <w:t>(91.2%)</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29</w:t>
            </w:r>
          </w:p>
          <w:p w:rsidR="00F51C4D" w:rsidRDefault="00F51C4D">
            <w:pPr>
              <w:spacing w:before="0" w:after="0"/>
              <w:ind w:left="174" w:hanging="174"/>
              <w:contextualSpacing/>
              <w:jc w:val="center"/>
              <w:rPr>
                <w:sz w:val="20"/>
                <w:szCs w:val="20"/>
              </w:rPr>
            </w:pPr>
            <w:r>
              <w:rPr>
                <w:sz w:val="20"/>
                <w:szCs w:val="20"/>
              </w:rPr>
              <w:t>(93.5%)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330</w:t>
            </w:r>
          </w:p>
          <w:p w:rsidR="00F51C4D" w:rsidRDefault="00F51C4D">
            <w:pPr>
              <w:spacing w:before="0" w:after="0"/>
              <w:ind w:left="174" w:hanging="174"/>
              <w:contextualSpacing/>
              <w:jc w:val="center"/>
              <w:rPr>
                <w:sz w:val="20"/>
                <w:szCs w:val="20"/>
              </w:rPr>
            </w:pPr>
            <w:r>
              <w:rPr>
                <w:sz w:val="20"/>
                <w:szCs w:val="20"/>
              </w:rPr>
              <w:t>(89%)</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487</w:t>
            </w:r>
          </w:p>
          <w:p w:rsidR="00F51C4D" w:rsidRDefault="00F51C4D">
            <w:pPr>
              <w:spacing w:before="0" w:after="0"/>
              <w:ind w:left="174" w:hanging="174"/>
              <w:contextualSpacing/>
              <w:jc w:val="center"/>
              <w:rPr>
                <w:sz w:val="20"/>
                <w:szCs w:val="20"/>
              </w:rPr>
            </w:pPr>
            <w:r>
              <w:rPr>
                <w:sz w:val="20"/>
                <w:szCs w:val="20"/>
              </w:rPr>
              <w:t>(83.5%)</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66</w:t>
            </w:r>
          </w:p>
          <w:p w:rsidR="00F51C4D" w:rsidRDefault="00F51C4D">
            <w:pPr>
              <w:spacing w:before="0" w:after="0"/>
              <w:ind w:left="174" w:hanging="174"/>
              <w:contextualSpacing/>
              <w:jc w:val="center"/>
              <w:rPr>
                <w:sz w:val="20"/>
                <w:szCs w:val="20"/>
              </w:rPr>
            </w:pPr>
            <w:r>
              <w:rPr>
                <w:sz w:val="20"/>
                <w:szCs w:val="20"/>
              </w:rPr>
              <w:t>(88%)</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White/Irish</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1</w:t>
            </w:r>
          </w:p>
          <w:p w:rsidR="00F51C4D" w:rsidRDefault="00F51C4D">
            <w:pPr>
              <w:spacing w:before="0" w:after="0"/>
              <w:ind w:left="174" w:hanging="174"/>
              <w:contextualSpacing/>
              <w:jc w:val="center"/>
              <w:rPr>
                <w:sz w:val="20"/>
                <w:szCs w:val="20"/>
              </w:rPr>
            </w:pPr>
            <w:r>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6</w:t>
            </w:r>
          </w:p>
          <w:p w:rsidR="00F51C4D" w:rsidRDefault="00F51C4D">
            <w:pPr>
              <w:spacing w:before="0" w:after="0"/>
              <w:ind w:left="174" w:hanging="174"/>
              <w:contextualSpacing/>
              <w:jc w:val="center"/>
              <w:rPr>
                <w:sz w:val="20"/>
                <w:szCs w:val="20"/>
              </w:rPr>
            </w:pPr>
            <w:r>
              <w:rPr>
                <w:sz w:val="20"/>
                <w:szCs w:val="20"/>
              </w:rPr>
              <w:t>(1.6%)</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12</w:t>
            </w:r>
          </w:p>
          <w:p w:rsidR="00F51C4D" w:rsidRDefault="00F51C4D">
            <w:pPr>
              <w:spacing w:before="0" w:after="0"/>
              <w:ind w:left="174" w:hanging="174"/>
              <w:contextualSpacing/>
              <w:jc w:val="center"/>
              <w:rPr>
                <w:sz w:val="20"/>
                <w:szCs w:val="20"/>
              </w:rPr>
            </w:pPr>
            <w:r>
              <w:rPr>
                <w:sz w:val="20"/>
                <w:szCs w:val="20"/>
              </w:rPr>
              <w:t>(2.1%)</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White/other</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5</w:t>
            </w:r>
          </w:p>
          <w:p w:rsidR="00F51C4D" w:rsidRDefault="00F51C4D">
            <w:pPr>
              <w:spacing w:before="0" w:after="0"/>
              <w:ind w:left="174" w:hanging="174"/>
              <w:contextualSpacing/>
              <w:jc w:val="center"/>
              <w:rPr>
                <w:sz w:val="20"/>
                <w:szCs w:val="20"/>
              </w:rPr>
            </w:pPr>
            <w:r>
              <w:rPr>
                <w:sz w:val="20"/>
                <w:szCs w:val="20"/>
              </w:rPr>
              <w:t>(4.9)%</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6</w:t>
            </w:r>
          </w:p>
          <w:p w:rsidR="00F51C4D" w:rsidRDefault="00F51C4D">
            <w:pPr>
              <w:spacing w:before="0" w:after="0"/>
              <w:ind w:left="174" w:hanging="174"/>
              <w:contextualSpacing/>
              <w:jc w:val="center"/>
              <w:rPr>
                <w:sz w:val="20"/>
                <w:szCs w:val="20"/>
              </w:rPr>
            </w:pPr>
            <w:r>
              <w:rPr>
                <w:sz w:val="20"/>
                <w:szCs w:val="20"/>
              </w:rPr>
              <w:t>(1.6%)</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10</w:t>
            </w:r>
          </w:p>
          <w:p w:rsidR="00F51C4D" w:rsidRDefault="00F51C4D">
            <w:pPr>
              <w:spacing w:before="0" w:after="0"/>
              <w:ind w:left="174" w:hanging="174"/>
              <w:contextualSpacing/>
              <w:jc w:val="center"/>
              <w:rPr>
                <w:sz w:val="20"/>
                <w:szCs w:val="20"/>
              </w:rPr>
            </w:pPr>
            <w:r>
              <w:rPr>
                <w:sz w:val="20"/>
                <w:szCs w:val="20"/>
              </w:rPr>
              <w:t>(1.7%)</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5</w:t>
            </w:r>
          </w:p>
          <w:p w:rsidR="00F51C4D" w:rsidRDefault="00F51C4D">
            <w:pPr>
              <w:spacing w:before="0" w:after="0"/>
              <w:ind w:left="174" w:hanging="174"/>
              <w:contextualSpacing/>
              <w:jc w:val="center"/>
              <w:rPr>
                <w:sz w:val="20"/>
                <w:szCs w:val="20"/>
              </w:rPr>
            </w:pPr>
            <w:r>
              <w:rPr>
                <w:sz w:val="20"/>
                <w:szCs w:val="20"/>
              </w:rPr>
              <w:t>(6.7%)</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Mixed-White/Black Caribbean</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1</w:t>
            </w:r>
          </w:p>
          <w:p w:rsidR="00F51C4D" w:rsidRDefault="00F51C4D">
            <w:pPr>
              <w:spacing w:before="0" w:after="0"/>
              <w:ind w:left="174" w:hanging="174"/>
              <w:contextualSpacing/>
              <w:jc w:val="center"/>
              <w:rPr>
                <w:sz w:val="20"/>
                <w:szCs w:val="20"/>
              </w:rPr>
            </w:pPr>
            <w:r>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3</w:t>
            </w:r>
          </w:p>
          <w:p w:rsidR="00F51C4D" w:rsidRDefault="00F51C4D">
            <w:pPr>
              <w:spacing w:before="0" w:after="0"/>
              <w:ind w:left="174" w:hanging="174"/>
              <w:contextualSpacing/>
              <w:jc w:val="center"/>
              <w:rPr>
                <w:sz w:val="20"/>
                <w:szCs w:val="20"/>
              </w:rPr>
            </w:pPr>
            <w:r>
              <w:rPr>
                <w:sz w:val="20"/>
                <w:szCs w:val="20"/>
              </w:rPr>
              <w:t>(0.8%)</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17</w:t>
            </w:r>
          </w:p>
          <w:p w:rsidR="00F51C4D" w:rsidRDefault="00F51C4D">
            <w:pPr>
              <w:spacing w:before="0" w:after="0"/>
              <w:ind w:left="174" w:hanging="174"/>
              <w:contextualSpacing/>
              <w:jc w:val="center"/>
              <w:rPr>
                <w:sz w:val="20"/>
                <w:szCs w:val="20"/>
              </w:rPr>
            </w:pPr>
            <w:r>
              <w:rPr>
                <w:sz w:val="20"/>
                <w:szCs w:val="20"/>
              </w:rPr>
              <w:t>(3.0%)</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2</w:t>
            </w:r>
          </w:p>
          <w:p w:rsidR="00F51C4D" w:rsidRDefault="00F51C4D">
            <w:pPr>
              <w:spacing w:before="0" w:after="0"/>
              <w:ind w:left="174" w:hanging="174"/>
              <w:contextualSpacing/>
              <w:jc w:val="center"/>
              <w:rPr>
                <w:sz w:val="20"/>
                <w:szCs w:val="20"/>
              </w:rPr>
            </w:pPr>
            <w:r>
              <w:rPr>
                <w:sz w:val="20"/>
                <w:szCs w:val="20"/>
              </w:rPr>
              <w:t>(66.6%)</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Mixed White/Asian</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3</w:t>
            </w:r>
          </w:p>
          <w:p w:rsidR="00F51C4D" w:rsidRDefault="00F51C4D">
            <w:pPr>
              <w:spacing w:before="0" w:after="0"/>
              <w:ind w:left="174" w:hanging="174"/>
              <w:contextualSpacing/>
              <w:jc w:val="center"/>
              <w:rPr>
                <w:sz w:val="20"/>
                <w:szCs w:val="20"/>
              </w:rPr>
            </w:pPr>
            <w:r>
              <w:rPr>
                <w:sz w:val="20"/>
                <w:szCs w:val="20"/>
              </w:rPr>
              <w:t>(0.8%)</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3</w:t>
            </w:r>
          </w:p>
          <w:p w:rsidR="00F51C4D" w:rsidRDefault="00F51C4D">
            <w:pPr>
              <w:spacing w:before="0" w:after="0"/>
              <w:ind w:left="174" w:hanging="174"/>
              <w:contextualSpacing/>
              <w:jc w:val="center"/>
              <w:rPr>
                <w:sz w:val="20"/>
                <w:szCs w:val="20"/>
              </w:rPr>
            </w:pPr>
            <w:r>
              <w:rPr>
                <w:sz w:val="20"/>
                <w:szCs w:val="20"/>
              </w:rPr>
              <w:t>(0.5%)</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Mixed/other</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4</w:t>
            </w:r>
          </w:p>
          <w:p w:rsidR="00F51C4D" w:rsidRDefault="00F51C4D">
            <w:pPr>
              <w:spacing w:before="0" w:after="0"/>
              <w:ind w:left="174" w:hanging="174"/>
              <w:contextualSpacing/>
              <w:jc w:val="center"/>
              <w:rPr>
                <w:sz w:val="20"/>
                <w:szCs w:val="20"/>
              </w:rPr>
            </w:pPr>
            <w:r>
              <w:rPr>
                <w:sz w:val="20"/>
                <w:szCs w:val="20"/>
              </w:rPr>
              <w:t>(0.7%)</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Asian Pakistani</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6</w:t>
            </w:r>
          </w:p>
          <w:p w:rsidR="00F51C4D" w:rsidRDefault="00F51C4D">
            <w:pPr>
              <w:spacing w:before="0" w:after="0"/>
              <w:ind w:left="174" w:hanging="174"/>
              <w:contextualSpacing/>
              <w:jc w:val="center"/>
              <w:rPr>
                <w:sz w:val="20"/>
                <w:szCs w:val="20"/>
              </w:rPr>
            </w:pPr>
            <w:r>
              <w:rPr>
                <w:sz w:val="20"/>
                <w:szCs w:val="20"/>
              </w:rPr>
              <w:t>(1.6%)</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12</w:t>
            </w:r>
          </w:p>
          <w:p w:rsidR="00F51C4D" w:rsidRDefault="00F51C4D">
            <w:pPr>
              <w:spacing w:before="0" w:after="0"/>
              <w:ind w:left="174" w:hanging="174"/>
              <w:contextualSpacing/>
              <w:jc w:val="center"/>
              <w:rPr>
                <w:sz w:val="20"/>
                <w:szCs w:val="20"/>
              </w:rPr>
            </w:pPr>
            <w:r>
              <w:rPr>
                <w:sz w:val="20"/>
                <w:szCs w:val="20"/>
              </w:rPr>
              <w:t>(2.1%)</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Asian Bangladeshi</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4</w:t>
            </w:r>
          </w:p>
          <w:p w:rsidR="00F51C4D" w:rsidRDefault="00F51C4D">
            <w:pPr>
              <w:spacing w:before="0" w:after="0"/>
              <w:ind w:left="174" w:hanging="174"/>
              <w:contextualSpacing/>
              <w:jc w:val="center"/>
              <w:rPr>
                <w:sz w:val="20"/>
                <w:szCs w:val="20"/>
              </w:rPr>
            </w:pPr>
            <w:r>
              <w:rPr>
                <w:sz w:val="20"/>
                <w:szCs w:val="20"/>
              </w:rPr>
              <w:t>(1.1%)</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Asian/other</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1</w:t>
            </w:r>
          </w:p>
          <w:p w:rsidR="00F51C4D" w:rsidRDefault="00F51C4D">
            <w:pPr>
              <w:spacing w:before="0" w:after="0"/>
              <w:ind w:left="174" w:hanging="174"/>
              <w:contextualSpacing/>
              <w:jc w:val="cente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8</w:t>
            </w:r>
          </w:p>
          <w:p w:rsidR="00F51C4D" w:rsidRDefault="00F51C4D">
            <w:pPr>
              <w:spacing w:before="0" w:after="0"/>
              <w:ind w:left="174" w:hanging="174"/>
              <w:contextualSpacing/>
              <w:jc w:val="center"/>
              <w:rPr>
                <w:sz w:val="20"/>
                <w:szCs w:val="20"/>
              </w:rPr>
            </w:pPr>
            <w:r>
              <w:rPr>
                <w:sz w:val="20"/>
                <w:szCs w:val="20"/>
              </w:rPr>
              <w:t>(2.2%)</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12</w:t>
            </w:r>
          </w:p>
          <w:p w:rsidR="00F51C4D" w:rsidRDefault="00F51C4D">
            <w:pPr>
              <w:spacing w:before="0" w:after="0"/>
              <w:ind w:left="174" w:hanging="174"/>
              <w:contextualSpacing/>
              <w:jc w:val="center"/>
              <w:rPr>
                <w:sz w:val="20"/>
                <w:szCs w:val="20"/>
              </w:rPr>
            </w:pPr>
            <w:r>
              <w:rPr>
                <w:sz w:val="20"/>
                <w:szCs w:val="20"/>
              </w:rPr>
              <w:t>(2.1%)</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174" w:hanging="174"/>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left="174" w:hanging="174"/>
              <w:contextualSpacing/>
              <w:jc w:val="center"/>
              <w:rPr>
                <w:sz w:val="20"/>
                <w:szCs w:val="20"/>
              </w:rPr>
            </w:pPr>
            <w:r>
              <w:rPr>
                <w:sz w:val="20"/>
                <w:szCs w:val="20"/>
              </w:rPr>
              <w:t>1</w:t>
            </w:r>
          </w:p>
          <w:p w:rsidR="00F51C4D" w:rsidRDefault="00F51C4D">
            <w:pPr>
              <w:spacing w:before="0" w:after="0"/>
              <w:ind w:left="174" w:hanging="174"/>
              <w:contextualSpacing/>
              <w:jc w:val="center"/>
              <w:rPr>
                <w:sz w:val="20"/>
                <w:szCs w:val="20"/>
              </w:rPr>
            </w:pPr>
            <w:r>
              <w:rPr>
                <w:sz w:val="20"/>
                <w:szCs w:val="20"/>
              </w:rPr>
              <w:t>(1.3%)</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Black Caribbean</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1</w:t>
            </w:r>
          </w:p>
          <w:p w:rsidR="00F51C4D" w:rsidRDefault="00F51C4D">
            <w:pPr>
              <w:spacing w:before="0" w:after="0"/>
              <w:ind w:hanging="709"/>
              <w:contextualSpacing/>
              <w:jc w:val="center"/>
              <w:rPr>
                <w:sz w:val="20"/>
                <w:szCs w:val="20"/>
              </w:rPr>
            </w:pPr>
            <w:r>
              <w:rPr>
                <w:sz w:val="20"/>
                <w:szCs w:val="20"/>
              </w:rPr>
              <w:t>(0.3%)</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9</w:t>
            </w:r>
          </w:p>
          <w:p w:rsidR="00F51C4D" w:rsidRDefault="00F51C4D">
            <w:pPr>
              <w:spacing w:before="0" w:after="0"/>
              <w:ind w:hanging="709"/>
              <w:contextualSpacing/>
              <w:jc w:val="center"/>
              <w:rPr>
                <w:sz w:val="20"/>
                <w:szCs w:val="20"/>
              </w:rPr>
            </w:pPr>
            <w:r>
              <w:rPr>
                <w:sz w:val="20"/>
                <w:szCs w:val="20"/>
              </w:rPr>
              <w:t>(1.5%)</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left="0"/>
              <w:contextualSpacing/>
              <w:jc w:val="left"/>
              <w:rPr>
                <w:sz w:val="20"/>
                <w:szCs w:val="20"/>
              </w:rPr>
            </w:pPr>
            <w:r>
              <w:rPr>
                <w:sz w:val="20"/>
                <w:szCs w:val="20"/>
              </w:rPr>
              <w:t>Black African</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2</w:t>
            </w:r>
          </w:p>
          <w:p w:rsidR="00F51C4D" w:rsidRDefault="00F51C4D">
            <w:pPr>
              <w:spacing w:before="0" w:after="0"/>
              <w:ind w:hanging="709"/>
              <w:contextualSpacing/>
              <w:jc w:val="center"/>
              <w:rPr>
                <w:sz w:val="20"/>
                <w:szCs w:val="20"/>
              </w:rPr>
            </w:pPr>
            <w:r>
              <w:rPr>
                <w:sz w:val="20"/>
                <w:szCs w:val="20"/>
              </w:rPr>
              <w:t>(1.9%)</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1</w:t>
            </w:r>
          </w:p>
          <w:p w:rsidR="00F51C4D" w:rsidRDefault="00F51C4D">
            <w:pPr>
              <w:spacing w:before="0" w:after="0"/>
              <w:ind w:hanging="709"/>
              <w:contextualSpacing/>
              <w:jc w:val="cente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2</w:t>
            </w:r>
          </w:p>
          <w:p w:rsidR="00F51C4D" w:rsidRDefault="00F51C4D">
            <w:pPr>
              <w:spacing w:before="0" w:after="0"/>
              <w:ind w:hanging="709"/>
              <w:contextualSpacing/>
              <w:jc w:val="center"/>
              <w:rPr>
                <w:sz w:val="20"/>
                <w:szCs w:val="20"/>
              </w:rPr>
            </w:pPr>
            <w:r>
              <w:rPr>
                <w:sz w:val="20"/>
                <w:szCs w:val="20"/>
              </w:rPr>
              <w:t>(0.5%)</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8</w:t>
            </w:r>
          </w:p>
          <w:p w:rsidR="00F51C4D" w:rsidRDefault="00F51C4D">
            <w:pPr>
              <w:spacing w:before="0" w:after="0"/>
              <w:ind w:hanging="709"/>
              <w:contextualSpacing/>
              <w:jc w:val="center"/>
              <w:rPr>
                <w:sz w:val="20"/>
                <w:szCs w:val="20"/>
              </w:rPr>
            </w:pPr>
            <w:r>
              <w:rPr>
                <w:sz w:val="20"/>
                <w:szCs w:val="20"/>
              </w:rPr>
              <w:t>(1.4%)</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1</w:t>
            </w:r>
          </w:p>
          <w:p w:rsidR="00F51C4D" w:rsidRDefault="00F51C4D">
            <w:pPr>
              <w:spacing w:before="0" w:after="0"/>
              <w:ind w:hanging="709"/>
              <w:contextualSpacing/>
              <w:jc w:val="center"/>
              <w:rPr>
                <w:sz w:val="20"/>
                <w:szCs w:val="20"/>
              </w:rPr>
            </w:pPr>
            <w:r>
              <w:rPr>
                <w:sz w:val="20"/>
                <w:szCs w:val="20"/>
              </w:rPr>
              <w:t>(33.3%)</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2</w:t>
            </w:r>
          </w:p>
          <w:p w:rsidR="00F51C4D" w:rsidRDefault="00F51C4D">
            <w:pPr>
              <w:spacing w:before="0" w:after="0"/>
              <w:ind w:hanging="709"/>
              <w:contextualSpacing/>
              <w:jc w:val="center"/>
              <w:rPr>
                <w:sz w:val="20"/>
                <w:szCs w:val="20"/>
              </w:rPr>
            </w:pPr>
            <w:r>
              <w:rPr>
                <w:sz w:val="20"/>
                <w:szCs w:val="20"/>
              </w:rPr>
              <w:t>(2.7%)</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rPr>
                <w:sz w:val="20"/>
                <w:szCs w:val="20"/>
              </w:rPr>
            </w:pPr>
            <w:r>
              <w:rPr>
                <w:sz w:val="20"/>
                <w:szCs w:val="20"/>
              </w:rPr>
              <w:t>Black/other</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2</w:t>
            </w:r>
          </w:p>
          <w:p w:rsidR="00F51C4D" w:rsidRDefault="00F51C4D">
            <w:pPr>
              <w:spacing w:before="0" w:after="0"/>
              <w:ind w:hanging="709"/>
              <w:contextualSpacing/>
              <w:jc w:val="center"/>
              <w:rPr>
                <w:sz w:val="20"/>
                <w:szCs w:val="20"/>
              </w:rPr>
            </w:pPr>
            <w:r>
              <w:rPr>
                <w:sz w:val="20"/>
                <w:szCs w:val="20"/>
              </w:rPr>
              <w:t>(0.5%)</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6</w:t>
            </w:r>
          </w:p>
          <w:p w:rsidR="00F51C4D" w:rsidRDefault="00F51C4D">
            <w:pPr>
              <w:spacing w:before="0" w:after="0"/>
              <w:ind w:hanging="709"/>
              <w:contextualSpacing/>
              <w:jc w:val="center"/>
              <w:rPr>
                <w:sz w:val="20"/>
                <w:szCs w:val="20"/>
              </w:rPr>
            </w:pPr>
            <w:r>
              <w:rPr>
                <w:sz w:val="20"/>
                <w:szCs w:val="20"/>
              </w:rPr>
              <w:t>(1.0%)</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1</w:t>
            </w:r>
          </w:p>
          <w:p w:rsidR="00F51C4D" w:rsidRDefault="00F51C4D">
            <w:pPr>
              <w:spacing w:before="0" w:after="0"/>
              <w:ind w:hanging="709"/>
              <w:contextualSpacing/>
              <w:jc w:val="center"/>
              <w:rPr>
                <w:sz w:val="20"/>
                <w:szCs w:val="20"/>
              </w:rPr>
            </w:pPr>
            <w:r>
              <w:rPr>
                <w:sz w:val="20"/>
                <w:szCs w:val="20"/>
              </w:rPr>
              <w:t>(1.3%)</w:t>
            </w:r>
          </w:p>
        </w:tc>
      </w:tr>
      <w:tr w:rsidR="00F51C4D" w:rsidTr="00F51C4D">
        <w:trPr>
          <w:cantSplit/>
        </w:trPr>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rPr>
                <w:sz w:val="20"/>
                <w:szCs w:val="20"/>
              </w:rPr>
            </w:pPr>
            <w:r>
              <w:rPr>
                <w:sz w:val="20"/>
                <w:szCs w:val="20"/>
              </w:rPr>
              <w:t>Chinese</w:t>
            </w:r>
          </w:p>
        </w:tc>
        <w:tc>
          <w:tcPr>
            <w:tcW w:w="14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9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51C4D" w:rsidRDefault="00F51C4D">
            <w:pPr>
              <w:spacing w:before="0" w:after="0"/>
              <w:ind w:hanging="709"/>
              <w:contextualSpacing/>
              <w:jc w:val="center"/>
              <w:rPr>
                <w:sz w:val="20"/>
                <w:szCs w:val="20"/>
              </w:rPr>
            </w:pPr>
            <w:r>
              <w:rPr>
                <w:sz w:val="20"/>
                <w:szCs w:val="20"/>
              </w:rPr>
              <w:t>3</w:t>
            </w:r>
          </w:p>
          <w:p w:rsidR="00F51C4D" w:rsidRDefault="00F51C4D">
            <w:pPr>
              <w:spacing w:before="0" w:after="0"/>
              <w:ind w:hanging="709"/>
              <w:contextualSpacing/>
              <w:jc w:val="center"/>
              <w:rPr>
                <w:sz w:val="20"/>
                <w:szCs w:val="20"/>
              </w:rPr>
            </w:pPr>
            <w:r>
              <w:rPr>
                <w:sz w:val="20"/>
                <w:szCs w:val="20"/>
              </w:rPr>
              <w:t>(0.5%)</w:t>
            </w:r>
          </w:p>
        </w:tc>
        <w:tc>
          <w:tcPr>
            <w:tcW w:w="1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c>
          <w:tcPr>
            <w:tcW w:w="9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51C4D" w:rsidRDefault="00F51C4D">
            <w:pPr>
              <w:spacing w:before="0" w:after="0"/>
              <w:ind w:hanging="709"/>
              <w:contextualSpacing/>
              <w:jc w:val="center"/>
              <w:rPr>
                <w:sz w:val="20"/>
                <w:szCs w:val="20"/>
              </w:rPr>
            </w:pPr>
            <w:r>
              <w:rPr>
                <w:sz w:val="20"/>
                <w:szCs w:val="20"/>
              </w:rPr>
              <w:t>-</w:t>
            </w:r>
          </w:p>
        </w:tc>
      </w:tr>
    </w:tbl>
    <w:p w:rsidR="00F51C4D" w:rsidRDefault="00F51C4D" w:rsidP="00F51C4D">
      <w:r>
        <w:t>Source: Survey of Training and Workforce Development 2011</w:t>
      </w:r>
    </w:p>
    <w:p w:rsidR="00F51C4D" w:rsidRDefault="00F51C4D" w:rsidP="00F51C4D">
      <w:pPr>
        <w:spacing w:before="0" w:after="0"/>
      </w:pPr>
    </w:p>
    <w:p w:rsidR="00F51C4D" w:rsidRDefault="00F51C4D" w:rsidP="00F51C4D">
      <w:pPr>
        <w:pStyle w:val="Heading2"/>
        <w:numPr>
          <w:ilvl w:val="1"/>
          <w:numId w:val="2"/>
        </w:numPr>
        <w:rPr>
          <w:b/>
        </w:rPr>
      </w:pPr>
      <w:r>
        <w:rPr>
          <w:b/>
        </w:rPr>
        <w:t>BME representation amongst school staff</w:t>
      </w:r>
    </w:p>
    <w:p w:rsidR="00F51C4D" w:rsidRDefault="00F51C4D" w:rsidP="00F51C4D">
      <w:pPr>
        <w:pStyle w:val="Heading3"/>
        <w:numPr>
          <w:ilvl w:val="2"/>
          <w:numId w:val="2"/>
        </w:numPr>
      </w:pPr>
      <w:r>
        <w:t xml:space="preserve">The table below breaks down the ethnic groups of school staff. The proportion of BME staff collectively is approximately 10%; the largest groups are highlighted, these are Asian Indian, Black </w:t>
      </w:r>
      <w:proofErr w:type="gramStart"/>
      <w:r>
        <w:t>African</w:t>
      </w:r>
      <w:proofErr w:type="gramEnd"/>
      <w:r>
        <w:t xml:space="preserve"> and White Other.</w:t>
      </w:r>
    </w:p>
    <w:p w:rsidR="00F51C4D" w:rsidRDefault="00F51C4D" w:rsidP="00F51C4D"/>
    <w:tbl>
      <w:tblPr>
        <w:tblW w:w="8319" w:type="dxa"/>
        <w:tblCellSpacing w:w="0" w:type="dxa"/>
        <w:tblCellMar>
          <w:left w:w="0" w:type="dxa"/>
          <w:right w:w="0" w:type="dxa"/>
        </w:tblCellMar>
        <w:tblLook w:val="04A0" w:firstRow="1" w:lastRow="0" w:firstColumn="1" w:lastColumn="0" w:noHBand="0" w:noVBand="1"/>
      </w:tblPr>
      <w:tblGrid>
        <w:gridCol w:w="4817"/>
        <w:gridCol w:w="1750"/>
        <w:gridCol w:w="1752"/>
      </w:tblGrid>
      <w:tr w:rsidR="00F51C4D" w:rsidTr="00F51C4D">
        <w:trPr>
          <w:trHeight w:val="238"/>
          <w:tblHeader/>
          <w:tblCellSpacing w:w="0" w:type="dxa"/>
        </w:trPr>
        <w:tc>
          <w:tcPr>
            <w:tcW w:w="8319" w:type="dxa"/>
            <w:gridSpan w:val="3"/>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F51C4D" w:rsidRDefault="00F51C4D">
            <w:pPr>
              <w:spacing w:before="0" w:after="0"/>
              <w:ind w:hanging="709"/>
              <w:contextualSpacing/>
            </w:pPr>
            <w:r>
              <w:t>Table Proportion of BME staff within schools</w:t>
            </w:r>
          </w:p>
        </w:tc>
      </w:tr>
      <w:tr w:rsidR="00F51C4D" w:rsidTr="00F51C4D">
        <w:trPr>
          <w:trHeight w:val="238"/>
          <w:tblHeader/>
          <w:tblCellSpacing w:w="0" w:type="dxa"/>
        </w:trPr>
        <w:tc>
          <w:tcPr>
            <w:tcW w:w="4817" w:type="dxa"/>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F51C4D" w:rsidRDefault="00F51C4D">
            <w:pPr>
              <w:spacing w:before="0" w:after="0"/>
              <w:ind w:hanging="709"/>
              <w:contextualSpacing/>
            </w:pPr>
            <w:r>
              <w:t>Ethnic origin</w:t>
            </w:r>
          </w:p>
        </w:tc>
        <w:tc>
          <w:tcPr>
            <w:tcW w:w="1750" w:type="dxa"/>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F51C4D" w:rsidRDefault="00F51C4D">
            <w:pPr>
              <w:spacing w:before="0" w:after="0"/>
              <w:ind w:hanging="709"/>
              <w:contextualSpacing/>
              <w:jc w:val="center"/>
            </w:pPr>
            <w:r>
              <w:t>Total</w:t>
            </w:r>
          </w:p>
        </w:tc>
        <w:tc>
          <w:tcPr>
            <w:tcW w:w="1752" w:type="dxa"/>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F51C4D" w:rsidRDefault="00F51C4D">
            <w:pPr>
              <w:spacing w:before="0" w:after="0"/>
              <w:ind w:hanging="709"/>
              <w:contextualSpacing/>
              <w:jc w:val="center"/>
            </w:pPr>
            <w:r>
              <w:t>%</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Any Other Ethnic Group</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5</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0.1%</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Asian Bangladeshi</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15</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0.4%</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bottom"/>
            <w:hideMark/>
          </w:tcPr>
          <w:p w:rsidR="00F51C4D" w:rsidRDefault="00F51C4D">
            <w:pPr>
              <w:spacing w:before="0" w:after="0"/>
              <w:ind w:hanging="709"/>
              <w:contextualSpacing/>
            </w:pPr>
            <w:r>
              <w:t>Asian Indian</w:t>
            </w:r>
          </w:p>
        </w:tc>
        <w:tc>
          <w:tcPr>
            <w:tcW w:w="175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bottom"/>
            <w:hideMark/>
          </w:tcPr>
          <w:p w:rsidR="00F51C4D" w:rsidRDefault="00F51C4D">
            <w:pPr>
              <w:spacing w:before="0" w:after="0"/>
              <w:ind w:hanging="709"/>
              <w:contextualSpacing/>
              <w:jc w:val="center"/>
            </w:pPr>
            <w:r>
              <w:t>75</w:t>
            </w:r>
          </w:p>
        </w:tc>
        <w:tc>
          <w:tcPr>
            <w:tcW w:w="1752"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bottom"/>
            <w:hideMark/>
          </w:tcPr>
          <w:p w:rsidR="00F51C4D" w:rsidRDefault="00F51C4D">
            <w:pPr>
              <w:spacing w:before="0" w:after="0"/>
              <w:ind w:hanging="709"/>
              <w:contextualSpacing/>
              <w:jc w:val="center"/>
            </w:pPr>
            <w:r>
              <w:t>1.8%</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Asian Other</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20</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0.5%</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Asian Pakistani</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36</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0.9%</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bottom"/>
            <w:hideMark/>
          </w:tcPr>
          <w:p w:rsidR="00F51C4D" w:rsidRDefault="00F51C4D">
            <w:pPr>
              <w:spacing w:before="0" w:after="0"/>
              <w:ind w:hanging="709"/>
              <w:contextualSpacing/>
            </w:pPr>
            <w:r>
              <w:t>Black African</w:t>
            </w:r>
          </w:p>
        </w:tc>
        <w:tc>
          <w:tcPr>
            <w:tcW w:w="175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bottom"/>
            <w:hideMark/>
          </w:tcPr>
          <w:p w:rsidR="00F51C4D" w:rsidRDefault="00F51C4D">
            <w:pPr>
              <w:spacing w:before="0" w:after="0"/>
              <w:ind w:hanging="709"/>
              <w:contextualSpacing/>
              <w:jc w:val="center"/>
            </w:pPr>
            <w:r>
              <w:t>60</w:t>
            </w:r>
          </w:p>
        </w:tc>
        <w:tc>
          <w:tcPr>
            <w:tcW w:w="1752"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bottom"/>
            <w:hideMark/>
          </w:tcPr>
          <w:p w:rsidR="00F51C4D" w:rsidRDefault="00F51C4D">
            <w:pPr>
              <w:spacing w:before="0" w:after="0"/>
              <w:ind w:hanging="709"/>
              <w:contextualSpacing/>
              <w:jc w:val="center"/>
            </w:pPr>
            <w:r>
              <w:t>1.5%</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Black Caribbean</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19</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0.5%</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Black Other</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4</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0.1%</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Chinese</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5</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0.1%</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Ethnicity Unknown</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8</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0.2%</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Mixed Other</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6</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0.1%</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Mixed White &amp; Black African</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2</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0.0%</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Mixed White &amp;Black Caribbean</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16</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0.4%</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Mixed White &amp; Asian</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5</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0.1%</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No Return</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247</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6.0%</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No data</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15</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0.4%</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Refused</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54</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1.3%</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White British</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3394</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82.8%</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White Irish</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28</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0.7%</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bottom"/>
            <w:hideMark/>
          </w:tcPr>
          <w:p w:rsidR="00F51C4D" w:rsidRDefault="00F51C4D">
            <w:pPr>
              <w:spacing w:before="0" w:after="0"/>
              <w:ind w:hanging="709"/>
              <w:contextualSpacing/>
            </w:pPr>
            <w:r>
              <w:t>White Other</w:t>
            </w:r>
          </w:p>
        </w:tc>
        <w:tc>
          <w:tcPr>
            <w:tcW w:w="175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bottom"/>
            <w:hideMark/>
          </w:tcPr>
          <w:p w:rsidR="00F51C4D" w:rsidRDefault="00F51C4D">
            <w:pPr>
              <w:spacing w:before="0" w:after="0"/>
              <w:ind w:hanging="709"/>
              <w:contextualSpacing/>
              <w:jc w:val="center"/>
            </w:pPr>
            <w:r>
              <w:t>85</w:t>
            </w:r>
          </w:p>
        </w:tc>
        <w:tc>
          <w:tcPr>
            <w:tcW w:w="1752"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bottom"/>
            <w:hideMark/>
          </w:tcPr>
          <w:p w:rsidR="00F51C4D" w:rsidRDefault="00F51C4D">
            <w:pPr>
              <w:spacing w:before="0" w:after="0"/>
              <w:ind w:hanging="709"/>
              <w:contextualSpacing/>
              <w:jc w:val="center"/>
            </w:pPr>
            <w:r>
              <w:t>2.1%</w:t>
            </w:r>
          </w:p>
        </w:tc>
      </w:tr>
      <w:tr w:rsidR="00F51C4D" w:rsidTr="00F51C4D">
        <w:trPr>
          <w:trHeight w:val="238"/>
          <w:tblCellSpacing w:w="0" w:type="dxa"/>
        </w:trPr>
        <w:tc>
          <w:tcPr>
            <w:tcW w:w="4817"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Grand Total</w:t>
            </w:r>
          </w:p>
        </w:tc>
        <w:tc>
          <w:tcPr>
            <w:tcW w:w="1750"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4099</w:t>
            </w:r>
          </w:p>
        </w:tc>
        <w:tc>
          <w:tcPr>
            <w:tcW w:w="1752"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jc w:val="center"/>
            </w:pPr>
            <w:r>
              <w:t>100.0%</w:t>
            </w:r>
          </w:p>
        </w:tc>
      </w:tr>
    </w:tbl>
    <w:p w:rsidR="00F51C4D" w:rsidRDefault="00F51C4D" w:rsidP="00F51C4D">
      <w:pPr>
        <w:pStyle w:val="Heading2"/>
        <w:numPr>
          <w:ilvl w:val="0"/>
          <w:numId w:val="0"/>
        </w:numPr>
        <w:ind w:left="718"/>
      </w:pPr>
    </w:p>
    <w:p w:rsidR="00F51C4D" w:rsidRDefault="00F51C4D" w:rsidP="00F51C4D">
      <w:pPr>
        <w:pStyle w:val="Heading2"/>
        <w:numPr>
          <w:ilvl w:val="0"/>
          <w:numId w:val="0"/>
        </w:numPr>
        <w:ind w:left="709"/>
      </w:pPr>
    </w:p>
    <w:p w:rsidR="00F51C4D" w:rsidRDefault="00F51C4D" w:rsidP="00F51C4D"/>
    <w:p w:rsidR="00F51C4D" w:rsidRDefault="00F51C4D" w:rsidP="00F51C4D"/>
    <w:p w:rsidR="00F51C4D" w:rsidRDefault="00F51C4D" w:rsidP="00F51C4D"/>
    <w:p w:rsidR="00F51C4D" w:rsidRDefault="00F51C4D" w:rsidP="00F51C4D"/>
    <w:p w:rsidR="00F51C4D" w:rsidRDefault="00F51C4D" w:rsidP="00F51C4D"/>
    <w:p w:rsidR="00F51C4D" w:rsidRDefault="00F51C4D" w:rsidP="00F51C4D"/>
    <w:p w:rsidR="00F51C4D" w:rsidRDefault="00F51C4D" w:rsidP="00F51C4D"/>
    <w:p w:rsidR="00F51C4D" w:rsidRDefault="00F51C4D" w:rsidP="00F51C4D"/>
    <w:p w:rsidR="00F51C4D" w:rsidRDefault="00F51C4D" w:rsidP="00F51C4D"/>
    <w:p w:rsidR="00F51C4D" w:rsidRDefault="00F51C4D" w:rsidP="00F51C4D"/>
    <w:p w:rsidR="00F51C4D" w:rsidRDefault="00F51C4D" w:rsidP="00F51C4D">
      <w:pPr>
        <w:pStyle w:val="Heading2"/>
        <w:numPr>
          <w:ilvl w:val="1"/>
          <w:numId w:val="2"/>
        </w:numPr>
      </w:pPr>
      <w:r>
        <w:rPr>
          <w:b/>
        </w:rPr>
        <w:lastRenderedPageBreak/>
        <w:t>BME representation amongst Milton Keynes Council staff</w:t>
      </w:r>
    </w:p>
    <w:p w:rsidR="00F51C4D" w:rsidRDefault="00F51C4D" w:rsidP="00F51C4D">
      <w:pPr>
        <w:pStyle w:val="Heading3"/>
        <w:numPr>
          <w:ilvl w:val="2"/>
          <w:numId w:val="2"/>
        </w:numPr>
      </w:pPr>
      <w:r>
        <w:t>The table below breaks down the ethnic groups of Milton Keynes Council staff. The proportion of BME staff collectively is approximately 11%; these are less defined groups, however, the largest group is Black.</w:t>
      </w:r>
    </w:p>
    <w:p w:rsidR="00F51C4D" w:rsidRDefault="00F51C4D" w:rsidP="00F51C4D">
      <w:pPr>
        <w:spacing w:before="0" w:after="0"/>
      </w:pPr>
    </w:p>
    <w:tbl>
      <w:tblPr>
        <w:tblW w:w="8222" w:type="dxa"/>
        <w:tblCellSpacing w:w="0" w:type="dxa"/>
        <w:tblInd w:w="724" w:type="dxa"/>
        <w:tblCellMar>
          <w:left w:w="0" w:type="dxa"/>
          <w:right w:w="0" w:type="dxa"/>
        </w:tblCellMar>
        <w:tblLook w:val="04A0" w:firstRow="1" w:lastRow="0" w:firstColumn="1" w:lastColumn="0" w:noHBand="0" w:noVBand="1"/>
      </w:tblPr>
      <w:tblGrid>
        <w:gridCol w:w="1559"/>
        <w:gridCol w:w="2127"/>
        <w:gridCol w:w="2268"/>
        <w:gridCol w:w="2268"/>
      </w:tblGrid>
      <w:tr w:rsidR="00F51C4D" w:rsidTr="00F51C4D">
        <w:trPr>
          <w:trHeight w:val="270"/>
          <w:tblCellSpacing w:w="0" w:type="dxa"/>
        </w:trPr>
        <w:tc>
          <w:tcPr>
            <w:tcW w:w="8222" w:type="dxa"/>
            <w:gridSpan w:val="4"/>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F51C4D" w:rsidRDefault="00F51C4D">
            <w:pPr>
              <w:spacing w:before="0" w:after="0"/>
              <w:ind w:hanging="709"/>
              <w:contextualSpacing/>
              <w:jc w:val="center"/>
            </w:pPr>
            <w:r>
              <w:t>Proportion of BME staff within Milton Keynes Council 2011- 2013</w:t>
            </w:r>
          </w:p>
        </w:tc>
      </w:tr>
      <w:tr w:rsidR="00F51C4D" w:rsidTr="00F51C4D">
        <w:trPr>
          <w:trHeight w:val="555"/>
          <w:tblCellSpacing w:w="0" w:type="dxa"/>
        </w:trPr>
        <w:tc>
          <w:tcPr>
            <w:tcW w:w="1559" w:type="dxa"/>
            <w:tcBorders>
              <w:top w:val="single" w:sz="6" w:space="0" w:color="000000"/>
              <w:left w:val="single" w:sz="6" w:space="0" w:color="000000"/>
              <w:bottom w:val="single" w:sz="6" w:space="0" w:color="000000"/>
              <w:right w:val="single" w:sz="6" w:space="0" w:color="000000"/>
            </w:tcBorders>
            <w:shd w:val="clear" w:color="auto" w:fill="D9D9D9"/>
            <w:hideMark/>
          </w:tcPr>
          <w:p w:rsidR="00F51C4D" w:rsidRDefault="00F51C4D">
            <w:pPr>
              <w:spacing w:before="0" w:after="0"/>
              <w:ind w:hanging="709"/>
              <w:contextualSpacing/>
              <w:jc w:val="center"/>
            </w:pPr>
            <w:r>
              <w:t>Ethnic Origin</w:t>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F51C4D" w:rsidRDefault="00F51C4D">
            <w:pPr>
              <w:spacing w:before="0" w:after="0"/>
              <w:ind w:hanging="709"/>
              <w:contextualSpacing/>
              <w:jc w:val="center"/>
            </w:pPr>
            <w:r>
              <w:t xml:space="preserve">Percentage at </w:t>
            </w:r>
          </w:p>
          <w:p w:rsidR="00F51C4D" w:rsidRDefault="00F51C4D">
            <w:pPr>
              <w:spacing w:before="0" w:after="0"/>
              <w:ind w:hanging="709"/>
              <w:contextualSpacing/>
              <w:jc w:val="center"/>
            </w:pPr>
            <w:r>
              <w:t>31 March 2011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F51C4D" w:rsidRDefault="00F51C4D">
            <w:pPr>
              <w:spacing w:before="0" w:after="0"/>
              <w:ind w:left="0" w:hanging="16"/>
              <w:contextualSpacing/>
              <w:jc w:val="center"/>
            </w:pPr>
            <w:r>
              <w:t xml:space="preserve">Percentage at </w:t>
            </w:r>
          </w:p>
          <w:p w:rsidR="00F51C4D" w:rsidRDefault="00F51C4D">
            <w:pPr>
              <w:spacing w:before="0" w:after="0"/>
              <w:ind w:left="0" w:hanging="16"/>
              <w:contextualSpacing/>
              <w:jc w:val="center"/>
            </w:pPr>
            <w:r>
              <w:t>31 March 2012</w:t>
            </w:r>
          </w:p>
        </w:tc>
        <w:tc>
          <w:tcPr>
            <w:tcW w:w="2268" w:type="dxa"/>
            <w:tcBorders>
              <w:top w:val="single" w:sz="6" w:space="0" w:color="000000"/>
              <w:left w:val="single" w:sz="6" w:space="0" w:color="000000"/>
              <w:bottom w:val="single" w:sz="6" w:space="0" w:color="000000"/>
              <w:right w:val="single" w:sz="6" w:space="0" w:color="000000"/>
            </w:tcBorders>
            <w:shd w:val="clear" w:color="auto" w:fill="D9D9D9"/>
            <w:hideMark/>
          </w:tcPr>
          <w:p w:rsidR="00F51C4D" w:rsidRDefault="00F51C4D">
            <w:pPr>
              <w:spacing w:before="0" w:after="0"/>
              <w:ind w:left="0"/>
              <w:contextualSpacing/>
              <w:jc w:val="center"/>
            </w:pPr>
            <w:r>
              <w:t xml:space="preserve">Percentage at </w:t>
            </w:r>
          </w:p>
          <w:p w:rsidR="00F51C4D" w:rsidRDefault="00F51C4D">
            <w:pPr>
              <w:spacing w:before="0" w:after="0"/>
              <w:ind w:left="0"/>
              <w:contextualSpacing/>
              <w:jc w:val="center"/>
            </w:pPr>
            <w:r>
              <w:t>31 March 2013</w:t>
            </w:r>
          </w:p>
        </w:tc>
      </w:tr>
      <w:tr w:rsidR="00F51C4D" w:rsidTr="00F51C4D">
        <w:trPr>
          <w:trHeight w:val="345"/>
          <w:tblCellSpacing w:w="0" w:type="dxa"/>
        </w:trPr>
        <w:tc>
          <w:tcPr>
            <w:tcW w:w="1559"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Asian</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3.39%</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3.32%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3.24%</w:t>
            </w:r>
          </w:p>
        </w:tc>
      </w:tr>
      <w:tr w:rsidR="00F51C4D" w:rsidTr="00F51C4D">
        <w:trPr>
          <w:trHeight w:val="345"/>
          <w:tblCellSpacing w:w="0" w:type="dxa"/>
        </w:trPr>
        <w:tc>
          <w:tcPr>
            <w:tcW w:w="1559"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Black</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5.79%</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6.25%</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6.80%</w:t>
            </w:r>
          </w:p>
        </w:tc>
      </w:tr>
      <w:tr w:rsidR="00F51C4D" w:rsidTr="00F51C4D">
        <w:trPr>
          <w:trHeight w:val="345"/>
          <w:tblCellSpacing w:w="0" w:type="dxa"/>
        </w:trPr>
        <w:tc>
          <w:tcPr>
            <w:tcW w:w="1559"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Chinese</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0.16%</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0.18%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0.14%</w:t>
            </w:r>
          </w:p>
        </w:tc>
      </w:tr>
      <w:tr w:rsidR="00F51C4D" w:rsidTr="00F51C4D">
        <w:trPr>
          <w:trHeight w:val="345"/>
          <w:tblCellSpacing w:w="0" w:type="dxa"/>
        </w:trPr>
        <w:tc>
          <w:tcPr>
            <w:tcW w:w="1559"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Mixed</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1.18%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1.28%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1.19%</w:t>
            </w:r>
          </w:p>
        </w:tc>
      </w:tr>
      <w:tr w:rsidR="00F51C4D" w:rsidTr="00F51C4D">
        <w:trPr>
          <w:trHeight w:val="345"/>
          <w:tblCellSpacing w:w="0" w:type="dxa"/>
        </w:trPr>
        <w:tc>
          <w:tcPr>
            <w:tcW w:w="1559"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Unknown</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7.95%</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9.88%</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9.73%</w:t>
            </w:r>
          </w:p>
        </w:tc>
      </w:tr>
      <w:tr w:rsidR="00F51C4D" w:rsidTr="00F51C4D">
        <w:trPr>
          <w:trHeight w:val="345"/>
          <w:tblCellSpacing w:w="0" w:type="dxa"/>
        </w:trPr>
        <w:tc>
          <w:tcPr>
            <w:tcW w:w="1559"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White</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81.54%</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79.09%</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78.90%</w:t>
            </w:r>
          </w:p>
        </w:tc>
      </w:tr>
      <w:tr w:rsidR="00F51C4D" w:rsidTr="00F51C4D">
        <w:trPr>
          <w:trHeight w:val="345"/>
          <w:tblCellSpacing w:w="0" w:type="dxa"/>
        </w:trPr>
        <w:tc>
          <w:tcPr>
            <w:tcW w:w="1559" w:type="dxa"/>
            <w:tcBorders>
              <w:top w:val="single" w:sz="6" w:space="0" w:color="000000"/>
              <w:left w:val="single" w:sz="6" w:space="0" w:color="000000"/>
              <w:bottom w:val="single" w:sz="6" w:space="0" w:color="000000"/>
              <w:right w:val="single" w:sz="6" w:space="0" w:color="000000"/>
            </w:tcBorders>
            <w:vAlign w:val="bottom"/>
            <w:hideMark/>
          </w:tcPr>
          <w:p w:rsidR="00F51C4D" w:rsidRDefault="00F51C4D">
            <w:pPr>
              <w:spacing w:before="0" w:after="0"/>
              <w:ind w:hanging="709"/>
              <w:contextualSpacing/>
            </w:pPr>
            <w:r>
              <w:t>Grand Total</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100.00%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100.00%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51C4D" w:rsidRDefault="00F51C4D">
            <w:pPr>
              <w:spacing w:before="0" w:after="0"/>
              <w:ind w:hanging="709"/>
              <w:contextualSpacing/>
              <w:jc w:val="center"/>
            </w:pPr>
            <w:r>
              <w:t>100%</w:t>
            </w:r>
          </w:p>
        </w:tc>
      </w:tr>
    </w:tbl>
    <w:p w:rsidR="00F51C4D" w:rsidRDefault="00F51C4D" w:rsidP="00F51C4D">
      <w:pPr>
        <w:pStyle w:val="Heading2"/>
        <w:numPr>
          <w:ilvl w:val="0"/>
          <w:numId w:val="0"/>
        </w:numPr>
        <w:ind w:left="718"/>
      </w:pPr>
    </w:p>
    <w:p w:rsidR="00F51C4D" w:rsidRDefault="00F51C4D" w:rsidP="00F51C4D">
      <w:pPr>
        <w:pStyle w:val="Heading2"/>
        <w:numPr>
          <w:ilvl w:val="1"/>
          <w:numId w:val="2"/>
        </w:numPr>
      </w:pPr>
      <w:r>
        <w:rPr>
          <w:b/>
        </w:rPr>
        <w:t>Conclusion</w:t>
      </w:r>
    </w:p>
    <w:p w:rsidR="00F51C4D" w:rsidRDefault="00F51C4D" w:rsidP="00F51C4D">
      <w:pPr>
        <w:spacing w:before="0" w:after="0"/>
        <w:ind w:hanging="709"/>
        <w:contextualSpacing/>
      </w:pPr>
    </w:p>
    <w:p w:rsidR="00F51C4D" w:rsidRDefault="00F51C4D" w:rsidP="00F51C4D">
      <w:pPr>
        <w:pStyle w:val="Heading3"/>
        <w:keepNext w:val="0"/>
        <w:keepLines w:val="0"/>
        <w:numPr>
          <w:ilvl w:val="2"/>
          <w:numId w:val="2"/>
        </w:numPr>
        <w:spacing w:before="0" w:after="0"/>
        <w:contextualSpacing/>
      </w:pPr>
      <w:r>
        <w:t xml:space="preserve">Service providers need to be aware of the complexity of ethnic diversity, taking into account the considerable numbers of different groups, </w:t>
      </w:r>
      <w:proofErr w:type="gramStart"/>
      <w:r>
        <w:t>religions</w:t>
      </w:r>
      <w:proofErr w:type="gramEnd"/>
      <w:r>
        <w:t xml:space="preserve"> and languages of Milton Keynes’ communities, bearing in mind also that Milton Keynes has a very transient and mobile population with high numbers of in-migration.</w:t>
      </w:r>
    </w:p>
    <w:p w:rsidR="00F51C4D" w:rsidRDefault="00F51C4D" w:rsidP="00F51C4D">
      <w:pPr>
        <w:spacing w:before="0" w:after="0"/>
      </w:pPr>
    </w:p>
    <w:p w:rsidR="00F51C4D" w:rsidRDefault="00F51C4D" w:rsidP="00F51C4D">
      <w:pPr>
        <w:pStyle w:val="Heading3"/>
        <w:keepNext w:val="0"/>
        <w:keepLines w:val="0"/>
        <w:numPr>
          <w:ilvl w:val="2"/>
          <w:numId w:val="2"/>
        </w:numPr>
        <w:spacing w:before="0" w:after="0"/>
        <w:contextualSpacing/>
      </w:pPr>
      <w:r>
        <w:t xml:space="preserve">While efforts at improving services should be concentrated on areas with a high density of black and ethnic minority </w:t>
      </w:r>
      <w:proofErr w:type="gramStart"/>
      <w:r>
        <w:t>groups;</w:t>
      </w:r>
      <w:proofErr w:type="gramEnd"/>
      <w:r>
        <w:t xml:space="preserve"> it needs to be remembered that there is ethnic diversity in all areas, as BME groups in these areas may be overlooked and may not access services as effectively to meet their needs.</w:t>
      </w:r>
    </w:p>
    <w:p w:rsidR="00F51C4D" w:rsidRDefault="00F51C4D" w:rsidP="00F51C4D">
      <w:pPr>
        <w:spacing w:before="0" w:after="0"/>
      </w:pPr>
    </w:p>
    <w:p w:rsidR="00F51C4D" w:rsidRDefault="00F51C4D" w:rsidP="00F51C4D">
      <w:pPr>
        <w:pStyle w:val="Heading3"/>
        <w:keepNext w:val="0"/>
        <w:keepLines w:val="0"/>
        <w:numPr>
          <w:ilvl w:val="2"/>
          <w:numId w:val="2"/>
        </w:numPr>
        <w:spacing w:before="0" w:after="0"/>
        <w:contextualSpacing/>
      </w:pPr>
      <w:r>
        <w:t xml:space="preserve">It is important to monitor the growing and changing population of BME groups to target services effectively, this is an on-going process that requires regular reviews. In this </w:t>
      </w:r>
      <w:proofErr w:type="gramStart"/>
      <w:r>
        <w:t>process</w:t>
      </w:r>
      <w:proofErr w:type="gramEnd"/>
      <w:r>
        <w:t xml:space="preserve"> it is important to collect suitable data and to use the same or similar categories across different ways of collecting data. In order to be able to target services better, too general categories such as ‘Black African’, which might mask differences and inequalities within the categories, should be reviewed. The Commission recommends positive action to improve the representation of ethnic groups among staff in Milton Keynes Council and in key Children’s and Maternity services. The Commission recommends further research into the attainment levels for older age groups e.g. Key Stage 3 and Key Stage 4 (Secondary School age) to identify and address differences of attainment between ethnic groups.</w:t>
      </w:r>
    </w:p>
    <w:p w:rsidR="009172B2" w:rsidRDefault="009172B2"/>
    <w:sectPr w:rsidR="009172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EB" w:rsidRDefault="008837EB" w:rsidP="00F51C4D">
      <w:pPr>
        <w:spacing w:before="0" w:after="0"/>
      </w:pPr>
      <w:r>
        <w:separator/>
      </w:r>
    </w:p>
  </w:endnote>
  <w:endnote w:type="continuationSeparator" w:id="0">
    <w:p w:rsidR="008837EB" w:rsidRDefault="008837EB" w:rsidP="00F51C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EB" w:rsidRDefault="008837EB" w:rsidP="00F51C4D">
      <w:pPr>
        <w:spacing w:before="0" w:after="0"/>
      </w:pPr>
      <w:r>
        <w:separator/>
      </w:r>
    </w:p>
  </w:footnote>
  <w:footnote w:type="continuationSeparator" w:id="0">
    <w:p w:rsidR="008837EB" w:rsidRDefault="008837EB" w:rsidP="00F51C4D">
      <w:pPr>
        <w:spacing w:before="0" w:after="0"/>
      </w:pPr>
      <w:r>
        <w:continuationSeparator/>
      </w:r>
    </w:p>
  </w:footnote>
  <w:footnote w:id="1">
    <w:p w:rsidR="00F51C4D" w:rsidRDefault="00F51C4D" w:rsidP="00F51C4D">
      <w:pPr>
        <w:pStyle w:val="FootnoteText"/>
        <w:spacing w:line="160" w:lineRule="atLeast"/>
        <w:jc w:val="left"/>
        <w:rPr>
          <w:rFonts w:cs="Arial"/>
          <w:sz w:val="18"/>
          <w:szCs w:val="18"/>
        </w:rPr>
      </w:pPr>
      <w:r>
        <w:rPr>
          <w:rStyle w:val="FootnoteReference"/>
          <w:rFonts w:cs="Arial"/>
          <w:sz w:val="18"/>
          <w:szCs w:val="18"/>
        </w:rPr>
        <w:footnoteRef/>
      </w:r>
      <w:r>
        <w:rPr>
          <w:rFonts w:cs="Arial"/>
          <w:sz w:val="18"/>
          <w:szCs w:val="18"/>
        </w:rPr>
        <w:t xml:space="preserve"> Census: </w:t>
      </w:r>
      <w:hyperlink r:id="rId1" w:history="1">
        <w:r>
          <w:rPr>
            <w:rStyle w:val="Hyperlink"/>
            <w:sz w:val="18"/>
            <w:szCs w:val="18"/>
          </w:rPr>
          <w:t>http://www.mkiobservatory.org.uk/page.aspx?id=1924&amp;siteID=1026</w:t>
        </w:r>
      </w:hyperlink>
      <w:r>
        <w:rPr>
          <w:rFonts w:cs="Arial"/>
          <w:sz w:val="18"/>
          <w:szCs w:val="18"/>
        </w:rPr>
        <w:t xml:space="preserve"> ; </w:t>
      </w:r>
      <w:hyperlink r:id="rId2" w:history="1">
        <w:r>
          <w:rPr>
            <w:rStyle w:val="Hyperlink"/>
            <w:sz w:val="18"/>
            <w:szCs w:val="18"/>
          </w:rPr>
          <w:t>https://www.nomisweb.co.uk/census/2011/data_finder</w:t>
        </w:r>
      </w:hyperlink>
      <w:r>
        <w:rPr>
          <w:rStyle w:val="Hyperlink"/>
          <w:noProof/>
          <w:sz w:val="18"/>
          <w:szCs w:val="18"/>
        </w:rPr>
        <w:t xml:space="preserve"> </w:t>
      </w:r>
    </w:p>
    <w:p w:rsidR="00F51C4D" w:rsidRDefault="00F51C4D" w:rsidP="00F51C4D">
      <w:pPr>
        <w:pStyle w:val="FootnoteText"/>
        <w:spacing w:line="160" w:lineRule="atLeast"/>
        <w:jc w:val="left"/>
        <w:rPr>
          <w:rFonts w:cs="Arial"/>
          <w:sz w:val="18"/>
          <w:szCs w:val="18"/>
        </w:rPr>
      </w:pPr>
    </w:p>
  </w:footnote>
  <w:footnote w:id="2">
    <w:p w:rsidR="00F51C4D" w:rsidRDefault="00F51C4D" w:rsidP="00F51C4D">
      <w:pPr>
        <w:pStyle w:val="FootnoteText"/>
        <w:spacing w:line="160" w:lineRule="atLeast"/>
        <w:jc w:val="left"/>
        <w:rPr>
          <w:rFonts w:cs="Arial"/>
          <w:sz w:val="18"/>
          <w:szCs w:val="18"/>
        </w:rPr>
      </w:pPr>
      <w:r>
        <w:rPr>
          <w:rStyle w:val="FootnoteReference"/>
          <w:rFonts w:cs="Arial"/>
          <w:sz w:val="18"/>
          <w:szCs w:val="18"/>
        </w:rPr>
        <w:footnoteRef/>
      </w:r>
      <w:r>
        <w:rPr>
          <w:rFonts w:cs="Arial"/>
          <w:sz w:val="18"/>
          <w:szCs w:val="18"/>
        </w:rPr>
        <w:t xml:space="preserve"> Office for National Statistics: </w:t>
      </w:r>
      <w:hyperlink r:id="rId3" w:history="1">
        <w:r>
          <w:rPr>
            <w:rStyle w:val="Hyperlink"/>
            <w:sz w:val="18"/>
            <w:szCs w:val="18"/>
          </w:rPr>
          <w:t>http://www.ons.gov.uk</w:t>
        </w:r>
      </w:hyperlink>
      <w:r>
        <w:rPr>
          <w:rStyle w:val="Hyperlink"/>
          <w:noProof/>
          <w:sz w:val="18"/>
          <w:szCs w:val="18"/>
        </w:rPr>
        <w:t xml:space="preserve"> </w:t>
      </w:r>
    </w:p>
  </w:footnote>
  <w:footnote w:id="3">
    <w:p w:rsidR="00F51C4D" w:rsidRDefault="00F51C4D" w:rsidP="00F51C4D">
      <w:pPr>
        <w:pStyle w:val="NormalWeb"/>
        <w:spacing w:line="160" w:lineRule="atLeast"/>
        <w:jc w:val="left"/>
      </w:pPr>
      <w:r>
        <w:rPr>
          <w:rStyle w:val="FootnoteReference"/>
          <w:rFonts w:ascii="Arial" w:hAnsi="Arial" w:cs="Arial"/>
          <w:sz w:val="18"/>
          <w:szCs w:val="18"/>
        </w:rPr>
        <w:footnoteRef/>
      </w:r>
      <w:r>
        <w:rPr>
          <w:rFonts w:ascii="Arial" w:hAnsi="Arial" w:cs="Arial"/>
          <w:sz w:val="18"/>
          <w:szCs w:val="18"/>
        </w:rPr>
        <w:t xml:space="preserve"> School census: </w:t>
      </w:r>
      <w:hyperlink r:id="rId4" w:tgtFrame="_blank" w:history="1">
        <w:r>
          <w:rPr>
            <w:rStyle w:val="Hyperlink"/>
            <w:sz w:val="18"/>
            <w:szCs w:val="18"/>
          </w:rPr>
          <w:t>http://www.mkiobservatory.org.uk/document.aspx?id=10291&amp;siteID=1026</w:t>
        </w:r>
      </w:hyperlink>
      <w:r>
        <w:rPr>
          <w:rStyle w:val="Hyperlink"/>
          <w:noProof/>
          <w:sz w:val="16"/>
          <w:szCs w:val="16"/>
        </w:rPr>
        <w:t xml:space="preserve"> </w:t>
      </w:r>
    </w:p>
  </w:footnote>
  <w:footnote w:id="4">
    <w:p w:rsidR="00F51C4D" w:rsidRDefault="00F51C4D" w:rsidP="00F51C4D">
      <w:pPr>
        <w:pStyle w:val="FootnoteText"/>
        <w:jc w:val="left"/>
        <w:rPr>
          <w:rFonts w:cs="Arial"/>
          <w:sz w:val="18"/>
          <w:szCs w:val="18"/>
        </w:rPr>
      </w:pPr>
      <w:r>
        <w:rPr>
          <w:rFonts w:cs="Arial"/>
          <w:sz w:val="18"/>
          <w:szCs w:val="18"/>
          <w:vertAlign w:val="superscript"/>
        </w:rPr>
        <w:footnoteRef/>
      </w:r>
      <w:r>
        <w:rPr>
          <w:rFonts w:cs="Arial"/>
          <w:sz w:val="18"/>
          <w:szCs w:val="18"/>
        </w:rPr>
        <w:t xml:space="preserve"> MK 2011 Census Profile - http://www.mkiobservatory.org.uk/document.aspx?id=10218&amp;siteID=1026</w:t>
      </w:r>
    </w:p>
    <w:p w:rsidR="00F51C4D" w:rsidRDefault="00F51C4D" w:rsidP="00F51C4D">
      <w:pPr>
        <w:jc w:val="left"/>
        <w:rPr>
          <w:rFonts w:cs="Arial"/>
          <w:sz w:val="16"/>
          <w:szCs w:val="16"/>
        </w:rPr>
      </w:pPr>
      <w:hyperlink r:id="rId5" w:history="1">
        <w:r>
          <w:rPr>
            <w:rStyle w:val="Hyperlink"/>
            <w:sz w:val="18"/>
            <w:szCs w:val="18"/>
          </w:rPr>
          <w:t>http://www.milton-keynes.gov.uk/business/economic-development/local-economic-assessment</w:t>
        </w:r>
      </w:hyperlink>
      <w:r>
        <w:rPr>
          <w:rFonts w:cs="Arial"/>
          <w:sz w:val="16"/>
          <w:szCs w:val="16"/>
        </w:rPr>
        <w:t xml:space="preserve"> </w:t>
      </w:r>
    </w:p>
    <w:p w:rsidR="00F51C4D" w:rsidRDefault="00F51C4D" w:rsidP="00F51C4D">
      <w:pPr>
        <w:pStyle w:val="FootnoteText"/>
        <w:ind w:left="0"/>
        <w:rPr>
          <w:rFonts w:cs="Arial"/>
          <w:sz w:val="16"/>
          <w:szCs w:val="16"/>
        </w:rPr>
      </w:pPr>
    </w:p>
    <w:p w:rsidR="00F51C4D" w:rsidRDefault="00F51C4D" w:rsidP="00F51C4D">
      <w:pPr>
        <w:pStyle w:val="FootnoteText"/>
      </w:pPr>
    </w:p>
  </w:footnote>
  <w:footnote w:id="5">
    <w:p w:rsidR="00F51C4D" w:rsidRDefault="00F51C4D" w:rsidP="00F51C4D">
      <w:pPr>
        <w:autoSpaceDE w:val="0"/>
        <w:autoSpaceDN w:val="0"/>
        <w:jc w:val="left"/>
        <w:rPr>
          <w:sz w:val="20"/>
          <w:szCs w:val="20"/>
        </w:rPr>
      </w:pPr>
      <w:r>
        <w:rPr>
          <w:rStyle w:val="FootnoteReference"/>
          <w:sz w:val="20"/>
          <w:szCs w:val="20"/>
        </w:rPr>
        <w:footnoteRef/>
      </w:r>
      <w:r>
        <w:rPr>
          <w:sz w:val="20"/>
          <w:szCs w:val="20"/>
        </w:rPr>
        <w:t xml:space="preserve"> </w:t>
      </w:r>
      <w:r>
        <w:rPr>
          <w:rFonts w:cs="Arial"/>
          <w:sz w:val="20"/>
          <w:szCs w:val="20"/>
        </w:rPr>
        <w:t xml:space="preserve">This major group covers occupations whose main tasks require a high level of knowledge and experience in the natural sciences, engineering, life sciences, social sciences, </w:t>
      </w:r>
      <w:proofErr w:type="gramStart"/>
      <w:r>
        <w:rPr>
          <w:rFonts w:cs="Arial"/>
          <w:sz w:val="20"/>
          <w:szCs w:val="20"/>
        </w:rPr>
        <w:t>humanities</w:t>
      </w:r>
      <w:proofErr w:type="gramEnd"/>
      <w:r>
        <w:rPr>
          <w:rFonts w:cs="Arial"/>
          <w:sz w:val="20"/>
          <w:szCs w:val="20"/>
        </w:rPr>
        <w:t xml:space="preserve"> and related fields. Most occupations in this major group will require a degree or equivalent qualification, with some occupations requiring postgraduate qualifications and/or a formal period of experience-related training.</w:t>
      </w:r>
    </w:p>
  </w:footnote>
  <w:footnote w:id="6">
    <w:p w:rsidR="00F51C4D" w:rsidRDefault="00F51C4D" w:rsidP="00F51C4D">
      <w:pPr>
        <w:pStyle w:val="FootnoteText"/>
        <w:jc w:val="left"/>
      </w:pPr>
      <w:r>
        <w:rPr>
          <w:rStyle w:val="FootnoteReference"/>
        </w:rPr>
        <w:footnoteRef/>
      </w:r>
      <w:r>
        <w:t xml:space="preserve"> </w:t>
      </w:r>
      <w:proofErr w:type="gramStart"/>
      <w:r>
        <w:rPr>
          <w:rFonts w:cs="Arial"/>
        </w:rPr>
        <w:t>Economically inactive including: retired; student; looking after home or family; long term sick or disabled; economically inactive; other.</w:t>
      </w:r>
      <w:proofErr w:type="gramEnd"/>
    </w:p>
  </w:footnote>
  <w:footnote w:id="7">
    <w:p w:rsidR="00F51C4D" w:rsidRDefault="00F51C4D" w:rsidP="00F51C4D">
      <w:pPr>
        <w:pStyle w:val="FootnoteText"/>
        <w:jc w:val="left"/>
        <w:rPr>
          <w:sz w:val="18"/>
          <w:szCs w:val="18"/>
        </w:rPr>
      </w:pPr>
      <w:r>
        <w:rPr>
          <w:rStyle w:val="FootnoteReference"/>
          <w:sz w:val="18"/>
          <w:szCs w:val="18"/>
        </w:rPr>
        <w:footnoteRef/>
      </w:r>
      <w:r>
        <w:rPr>
          <w:sz w:val="18"/>
          <w:szCs w:val="18"/>
        </w:rPr>
        <w:t xml:space="preserve"> </w:t>
      </w:r>
      <w:r>
        <w:rPr>
          <w:rFonts w:cs="Arial"/>
          <w:sz w:val="18"/>
          <w:szCs w:val="18"/>
        </w:rPr>
        <w:t>Source: Schools Census return January 2013.</w:t>
      </w:r>
      <w:r>
        <w:rPr>
          <w:rFonts w:cs="Arial"/>
          <w:noProof/>
          <w:sz w:val="18"/>
          <w:szCs w:val="18"/>
        </w:rPr>
        <w:t xml:space="preserve"> </w:t>
      </w:r>
    </w:p>
  </w:footnote>
  <w:footnote w:id="8">
    <w:p w:rsidR="00F51C4D" w:rsidRDefault="00F51C4D" w:rsidP="00F51C4D">
      <w:pPr>
        <w:pStyle w:val="FootnoteText"/>
        <w:jc w:val="left"/>
        <w:rPr>
          <w:rFonts w:cs="Arial"/>
          <w:sz w:val="18"/>
          <w:szCs w:val="18"/>
        </w:rPr>
      </w:pPr>
      <w:r>
        <w:rPr>
          <w:rStyle w:val="FootnoteReference"/>
          <w:sz w:val="18"/>
          <w:szCs w:val="18"/>
        </w:rPr>
        <w:footnoteRef/>
      </w:r>
      <w:r>
        <w:rPr>
          <w:sz w:val="18"/>
          <w:szCs w:val="18"/>
        </w:rPr>
        <w:t xml:space="preserve"> </w:t>
      </w:r>
      <w:r>
        <w:rPr>
          <w:rFonts w:cs="Arial"/>
          <w:sz w:val="18"/>
          <w:szCs w:val="18"/>
        </w:rPr>
        <w:t>Key stage 1 includes Years 1 &amp; 2: i.e. 5 &amp; 6 years old children. Robust data is not available for Foundation Stage; data is incomplete as it is not statutory to collect data on ethnic origin for this age group. Trends cannot be established as there is only one year of data.</w:t>
      </w:r>
    </w:p>
  </w:footnote>
  <w:footnote w:id="9">
    <w:p w:rsidR="00F51C4D" w:rsidRDefault="00F51C4D" w:rsidP="00F51C4D">
      <w:pPr>
        <w:pStyle w:val="FootnoteText"/>
        <w:jc w:val="left"/>
        <w:rPr>
          <w:rFonts w:cs="Arial"/>
          <w:sz w:val="18"/>
          <w:szCs w:val="18"/>
        </w:rPr>
      </w:pPr>
      <w:r>
        <w:rPr>
          <w:rStyle w:val="FootnoteReference"/>
          <w:rFonts w:cs="Arial"/>
          <w:sz w:val="18"/>
          <w:szCs w:val="18"/>
        </w:rPr>
        <w:footnoteRef/>
      </w:r>
      <w:r>
        <w:rPr>
          <w:rFonts w:cs="Arial"/>
          <w:sz w:val="18"/>
          <w:szCs w:val="18"/>
        </w:rPr>
        <w:t xml:space="preserve"> Office for National Statistics – </w:t>
      </w:r>
      <w:hyperlink r:id="rId6" w:history="1">
        <w:r>
          <w:rPr>
            <w:rStyle w:val="Hyperlink"/>
            <w:sz w:val="18"/>
            <w:szCs w:val="18"/>
          </w:rPr>
          <w:t>http://www.ons.gov.uk</w:t>
        </w:r>
      </w:hyperlink>
    </w:p>
    <w:p w:rsidR="00F51C4D" w:rsidRDefault="00F51C4D" w:rsidP="00F51C4D">
      <w:pPr>
        <w:pStyle w:val="FootnoteText"/>
        <w:rPr>
          <w:rFonts w:cs="Arial"/>
        </w:rPr>
      </w:pPr>
    </w:p>
  </w:footnote>
  <w:footnote w:id="10">
    <w:p w:rsidR="00F51C4D" w:rsidRDefault="00F51C4D" w:rsidP="00F51C4D">
      <w:pPr>
        <w:pStyle w:val="FootnoteText"/>
        <w:jc w:val="left"/>
        <w:rPr>
          <w:sz w:val="18"/>
          <w:szCs w:val="18"/>
        </w:rPr>
      </w:pPr>
      <w:r>
        <w:rPr>
          <w:rStyle w:val="FootnoteReference"/>
          <w:sz w:val="18"/>
          <w:szCs w:val="18"/>
        </w:rPr>
        <w:footnoteRef/>
      </w:r>
      <w:r>
        <w:rPr>
          <w:sz w:val="18"/>
          <w:szCs w:val="18"/>
        </w:rPr>
        <w:t xml:space="preserve"> </w:t>
      </w:r>
      <w:proofErr w:type="gramStart"/>
      <w:r>
        <w:rPr>
          <w:rFonts w:cs="Arial"/>
          <w:sz w:val="18"/>
          <w:szCs w:val="18"/>
        </w:rPr>
        <w:t>Includes: health visitors, midwives, mental health, learning difficulties and school nurses.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F27"/>
    <w:multiLevelType w:val="multilevel"/>
    <w:tmpl w:val="E60ABCC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A464B88"/>
    <w:multiLevelType w:val="hybridMultilevel"/>
    <w:tmpl w:val="AEE40AB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nsid w:val="13A85124"/>
    <w:multiLevelType w:val="hybridMultilevel"/>
    <w:tmpl w:val="4C2E016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15BD2B2D"/>
    <w:multiLevelType w:val="hybridMultilevel"/>
    <w:tmpl w:val="41469B4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4">
    <w:nsid w:val="27EF4514"/>
    <w:multiLevelType w:val="hybridMultilevel"/>
    <w:tmpl w:val="8926F23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5">
    <w:nsid w:val="2C1448D7"/>
    <w:multiLevelType w:val="hybridMultilevel"/>
    <w:tmpl w:val="34F40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D55492D"/>
    <w:multiLevelType w:val="hybridMultilevel"/>
    <w:tmpl w:val="2A40411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7">
    <w:nsid w:val="32291BD8"/>
    <w:multiLevelType w:val="hybridMultilevel"/>
    <w:tmpl w:val="A5FA098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8">
    <w:nsid w:val="45B74C77"/>
    <w:multiLevelType w:val="hybridMultilevel"/>
    <w:tmpl w:val="6322A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DBC6BCF"/>
    <w:multiLevelType w:val="hybridMultilevel"/>
    <w:tmpl w:val="5984977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0">
    <w:nsid w:val="5CB84D9A"/>
    <w:multiLevelType w:val="hybridMultilevel"/>
    <w:tmpl w:val="A8FA13C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1">
    <w:nsid w:val="620D5553"/>
    <w:multiLevelType w:val="hybridMultilevel"/>
    <w:tmpl w:val="FB3E3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7FD21FB"/>
    <w:multiLevelType w:val="hybridMultilevel"/>
    <w:tmpl w:val="7B481D3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3">
    <w:nsid w:val="69D27BBB"/>
    <w:multiLevelType w:val="hybridMultilevel"/>
    <w:tmpl w:val="35F6AA3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4">
    <w:nsid w:val="6DB7462E"/>
    <w:multiLevelType w:val="hybridMultilevel"/>
    <w:tmpl w:val="40B85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6"/>
  </w:num>
  <w:num w:numId="6">
    <w:abstractNumId w:val="6"/>
    <w:lvlOverride w:ilvl="0"/>
    <w:lvlOverride w:ilvl="1"/>
    <w:lvlOverride w:ilvl="2"/>
    <w:lvlOverride w:ilvl="3"/>
    <w:lvlOverride w:ilvl="4"/>
    <w:lvlOverride w:ilvl="5"/>
    <w:lvlOverride w:ilvl="6"/>
    <w:lvlOverride w:ilvl="7"/>
    <w:lvlOverride w:ilvl="8"/>
  </w:num>
  <w:num w:numId="7">
    <w:abstractNumId w:val="8"/>
  </w:num>
  <w:num w:numId="8">
    <w:abstractNumId w:val="8"/>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14"/>
  </w:num>
  <w:num w:numId="12">
    <w:abstractNumId w:val="14"/>
    <w:lvlOverride w:ilvl="0"/>
    <w:lvlOverride w:ilvl="1"/>
    <w:lvlOverride w:ilvl="2"/>
    <w:lvlOverride w:ilvl="3"/>
    <w:lvlOverride w:ilvl="4"/>
    <w:lvlOverride w:ilvl="5"/>
    <w:lvlOverride w:ilvl="6"/>
    <w:lvlOverride w:ilvl="7"/>
    <w:lvlOverride w:ilvl="8"/>
  </w:num>
  <w:num w:numId="13">
    <w:abstractNumId w:val="2"/>
  </w:num>
  <w:num w:numId="14">
    <w:abstractNumId w:val="2"/>
    <w:lvlOverride w:ilvl="0"/>
    <w:lvlOverride w:ilvl="1"/>
    <w:lvlOverride w:ilvl="2"/>
    <w:lvlOverride w:ilvl="3"/>
    <w:lvlOverride w:ilvl="4"/>
    <w:lvlOverride w:ilvl="5"/>
    <w:lvlOverride w:ilvl="6"/>
    <w:lvlOverride w:ilvl="7"/>
    <w:lvlOverride w:ilvl="8"/>
  </w:num>
  <w:num w:numId="15">
    <w:abstractNumId w:val="12"/>
  </w:num>
  <w:num w:numId="16">
    <w:abstractNumId w:val="12"/>
    <w:lvlOverride w:ilvl="0"/>
    <w:lvlOverride w:ilvl="1"/>
    <w:lvlOverride w:ilvl="2"/>
    <w:lvlOverride w:ilvl="3"/>
    <w:lvlOverride w:ilvl="4"/>
    <w:lvlOverride w:ilvl="5"/>
    <w:lvlOverride w:ilvl="6"/>
    <w:lvlOverride w:ilvl="7"/>
    <w:lvlOverride w:ilvl="8"/>
  </w:num>
  <w:num w:numId="17">
    <w:abstractNumId w:val="7"/>
  </w:num>
  <w:num w:numId="18">
    <w:abstractNumId w:val="7"/>
    <w:lvlOverride w:ilvl="0"/>
    <w:lvlOverride w:ilvl="1"/>
    <w:lvlOverride w:ilvl="2"/>
    <w:lvlOverride w:ilvl="3"/>
    <w:lvlOverride w:ilvl="4"/>
    <w:lvlOverride w:ilvl="5"/>
    <w:lvlOverride w:ilvl="6"/>
    <w:lvlOverride w:ilvl="7"/>
    <w:lvlOverride w:ilvl="8"/>
  </w:num>
  <w:num w:numId="19">
    <w:abstractNumId w:val="4"/>
  </w:num>
  <w:num w:numId="20">
    <w:abstractNumId w:val="4"/>
    <w:lvlOverride w:ilvl="0"/>
    <w:lvlOverride w:ilvl="1"/>
    <w:lvlOverride w:ilvl="2"/>
    <w:lvlOverride w:ilvl="3"/>
    <w:lvlOverride w:ilvl="4"/>
    <w:lvlOverride w:ilvl="5"/>
    <w:lvlOverride w:ilvl="6"/>
    <w:lvlOverride w:ilvl="7"/>
    <w:lvlOverride w:ilvl="8"/>
  </w:num>
  <w:num w:numId="21">
    <w:abstractNumId w:val="13"/>
  </w:num>
  <w:num w:numId="22">
    <w:abstractNumId w:val="13"/>
    <w:lvlOverride w:ilvl="0"/>
    <w:lvlOverride w:ilvl="1"/>
    <w:lvlOverride w:ilvl="2"/>
    <w:lvlOverride w:ilvl="3"/>
    <w:lvlOverride w:ilvl="4"/>
    <w:lvlOverride w:ilvl="5"/>
    <w:lvlOverride w:ilvl="6"/>
    <w:lvlOverride w:ilvl="7"/>
    <w:lvlOverride w:ilvl="8"/>
  </w:num>
  <w:num w:numId="23">
    <w:abstractNumId w:val="10"/>
  </w:num>
  <w:num w:numId="24">
    <w:abstractNumId w:val="10"/>
    <w:lvlOverride w:ilvl="0"/>
    <w:lvlOverride w:ilvl="1"/>
    <w:lvlOverride w:ilvl="2"/>
    <w:lvlOverride w:ilvl="3"/>
    <w:lvlOverride w:ilvl="4"/>
    <w:lvlOverride w:ilvl="5"/>
    <w:lvlOverride w:ilvl="6"/>
    <w:lvlOverride w:ilvl="7"/>
    <w:lvlOverride w:ilvl="8"/>
  </w:num>
  <w:num w:numId="25">
    <w:abstractNumId w:val="9"/>
  </w:num>
  <w:num w:numId="26">
    <w:abstractNumId w:val="9"/>
    <w:lvlOverride w:ilvl="0"/>
    <w:lvlOverride w:ilvl="1"/>
    <w:lvlOverride w:ilvl="2"/>
    <w:lvlOverride w:ilvl="3"/>
    <w:lvlOverride w:ilvl="4"/>
    <w:lvlOverride w:ilvl="5"/>
    <w:lvlOverride w:ilvl="6"/>
    <w:lvlOverride w:ilvl="7"/>
    <w:lvlOverride w:ilvl="8"/>
  </w:num>
  <w:num w:numId="27">
    <w:abstractNumId w:val="3"/>
  </w:num>
  <w:num w:numId="28">
    <w:abstractNumId w:val="3"/>
    <w:lvlOverride w:ilvl="0"/>
    <w:lvlOverride w:ilvl="1"/>
    <w:lvlOverride w:ilvl="2"/>
    <w:lvlOverride w:ilvl="3"/>
    <w:lvlOverride w:ilvl="4"/>
    <w:lvlOverride w:ilvl="5"/>
    <w:lvlOverride w:ilvl="6"/>
    <w:lvlOverride w:ilvl="7"/>
    <w:lvlOverride w:ilvl="8"/>
  </w:num>
  <w:num w:numId="29">
    <w:abstractNumId w:val="11"/>
  </w:num>
  <w:num w:numId="3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4D"/>
    <w:rsid w:val="008837EB"/>
    <w:rsid w:val="009172B2"/>
    <w:rsid w:val="00F5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4D"/>
    <w:pPr>
      <w:spacing w:before="120" w:after="120" w:line="240" w:lineRule="auto"/>
      <w:ind w:left="709"/>
      <w:jc w:val="both"/>
    </w:pPr>
    <w:rPr>
      <w:rFonts w:ascii="Arial" w:hAnsi="Arial"/>
      <w:sz w:val="24"/>
    </w:rPr>
  </w:style>
  <w:style w:type="paragraph" w:styleId="Heading1">
    <w:name w:val="heading 1"/>
    <w:basedOn w:val="Normal"/>
    <w:next w:val="Normal"/>
    <w:link w:val="Heading1Char"/>
    <w:autoRedefine/>
    <w:uiPriority w:val="9"/>
    <w:qFormat/>
    <w:rsid w:val="00F51C4D"/>
    <w:pPr>
      <w:numPr>
        <w:numId w:val="1"/>
      </w:numPr>
      <w:tabs>
        <w:tab w:val="left" w:pos="0"/>
      </w:tabs>
      <w:spacing w:before="0" w:after="0"/>
      <w:ind w:left="567" w:hanging="567"/>
      <w:contextualSpacing/>
      <w:outlineLvl w:val="0"/>
    </w:pPr>
    <w:rPr>
      <w:rFonts w:eastAsia="Times New Roman" w:cs="Arial"/>
      <w:b/>
      <w:bCs/>
      <w:color w:val="000000" w:themeColor="text1"/>
      <w:szCs w:val="24"/>
      <w:lang w:val="en-US" w:eastAsia="en-GB"/>
    </w:rPr>
  </w:style>
  <w:style w:type="paragraph" w:styleId="Heading2">
    <w:name w:val="heading 2"/>
    <w:basedOn w:val="Normal"/>
    <w:next w:val="Normal"/>
    <w:link w:val="Heading2Char"/>
    <w:autoRedefine/>
    <w:uiPriority w:val="9"/>
    <w:semiHidden/>
    <w:unhideWhenUsed/>
    <w:qFormat/>
    <w:rsid w:val="00F51C4D"/>
    <w:pPr>
      <w:numPr>
        <w:ilvl w:val="1"/>
        <w:numId w:val="1"/>
      </w:numPr>
      <w:tabs>
        <w:tab w:val="left" w:pos="709"/>
      </w:tabs>
      <w:spacing w:before="0" w:after="0"/>
      <w:outlineLvl w:val="1"/>
    </w:pPr>
    <w:rPr>
      <w:rFonts w:cs="Arial"/>
      <w:szCs w:val="24"/>
    </w:rPr>
  </w:style>
  <w:style w:type="paragraph" w:styleId="Heading3">
    <w:name w:val="heading 3"/>
    <w:basedOn w:val="Normal"/>
    <w:next w:val="Normal"/>
    <w:link w:val="Heading3Char"/>
    <w:uiPriority w:val="9"/>
    <w:semiHidden/>
    <w:unhideWhenUsed/>
    <w:qFormat/>
    <w:rsid w:val="00F51C4D"/>
    <w:pPr>
      <w:keepNext/>
      <w:keepLines/>
      <w:numPr>
        <w:ilvl w:val="2"/>
        <w:numId w:val="1"/>
      </w:numPr>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F51C4D"/>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F51C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1C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1C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1C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1C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4D"/>
    <w:rPr>
      <w:rFonts w:ascii="Arial" w:eastAsia="Times New Roman" w:hAnsi="Arial" w:cs="Arial"/>
      <w:b/>
      <w:bCs/>
      <w:color w:val="000000" w:themeColor="text1"/>
      <w:sz w:val="24"/>
      <w:szCs w:val="24"/>
      <w:lang w:val="en-US" w:eastAsia="en-GB"/>
    </w:rPr>
  </w:style>
  <w:style w:type="character" w:customStyle="1" w:styleId="Heading2Char">
    <w:name w:val="Heading 2 Char"/>
    <w:basedOn w:val="DefaultParagraphFont"/>
    <w:link w:val="Heading2"/>
    <w:uiPriority w:val="9"/>
    <w:semiHidden/>
    <w:rsid w:val="00F51C4D"/>
    <w:rPr>
      <w:rFonts w:ascii="Arial" w:hAnsi="Arial" w:cs="Arial"/>
      <w:sz w:val="24"/>
      <w:szCs w:val="24"/>
    </w:rPr>
  </w:style>
  <w:style w:type="character" w:customStyle="1" w:styleId="Heading3Char">
    <w:name w:val="Heading 3 Char"/>
    <w:basedOn w:val="DefaultParagraphFont"/>
    <w:link w:val="Heading3"/>
    <w:uiPriority w:val="9"/>
    <w:semiHidden/>
    <w:rsid w:val="00F51C4D"/>
    <w:rPr>
      <w:rFonts w:ascii="Arial" w:eastAsiaTheme="majorEastAsia" w:hAnsi="Arial" w:cstheme="majorBidi"/>
      <w:bCs/>
      <w:sz w:val="24"/>
    </w:rPr>
  </w:style>
  <w:style w:type="character" w:customStyle="1" w:styleId="Heading4Char">
    <w:name w:val="Heading 4 Char"/>
    <w:basedOn w:val="DefaultParagraphFont"/>
    <w:link w:val="Heading4"/>
    <w:uiPriority w:val="9"/>
    <w:semiHidden/>
    <w:rsid w:val="00F51C4D"/>
    <w:rPr>
      <w:rFonts w:ascii="Arial" w:eastAsiaTheme="majorEastAsia" w:hAnsi="Arial" w:cstheme="majorBidi"/>
      <w:b/>
      <w:bCs/>
      <w:i/>
      <w:iCs/>
      <w:sz w:val="24"/>
    </w:rPr>
  </w:style>
  <w:style w:type="character" w:customStyle="1" w:styleId="Heading5Char">
    <w:name w:val="Heading 5 Char"/>
    <w:basedOn w:val="DefaultParagraphFont"/>
    <w:link w:val="Heading5"/>
    <w:uiPriority w:val="9"/>
    <w:semiHidden/>
    <w:rsid w:val="00F51C4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51C4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51C4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51C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1C4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F51C4D"/>
    <w:rPr>
      <w:color w:val="0000FF" w:themeColor="hyperlink"/>
      <w:u w:val="single"/>
    </w:rPr>
  </w:style>
  <w:style w:type="character" w:styleId="FollowedHyperlink">
    <w:name w:val="FollowedHyperlink"/>
    <w:semiHidden/>
    <w:unhideWhenUsed/>
    <w:rsid w:val="00F51C4D"/>
    <w:rPr>
      <w:color w:val="800080"/>
      <w:u w:val="single"/>
    </w:rPr>
  </w:style>
  <w:style w:type="paragraph" w:styleId="NormalWeb">
    <w:name w:val="Normal (Web)"/>
    <w:basedOn w:val="Normal"/>
    <w:semiHidden/>
    <w:unhideWhenUsed/>
    <w:rsid w:val="00F51C4D"/>
    <w:pPr>
      <w:spacing w:before="100" w:beforeAutospacing="1" w:after="100" w:afterAutospacing="1"/>
    </w:pPr>
    <w:rPr>
      <w:rFonts w:ascii="Times New Roman" w:eastAsia="Times New Roman" w:hAnsi="Times New Roman" w:cs="Times New Roman"/>
      <w:szCs w:val="24"/>
      <w:lang w:eastAsia="en-GB"/>
    </w:rPr>
  </w:style>
  <w:style w:type="paragraph" w:styleId="TOC1">
    <w:name w:val="toc 1"/>
    <w:basedOn w:val="Normal"/>
    <w:next w:val="Normal"/>
    <w:autoRedefine/>
    <w:uiPriority w:val="39"/>
    <w:semiHidden/>
    <w:unhideWhenUsed/>
    <w:qFormat/>
    <w:rsid w:val="00F51C4D"/>
    <w:pPr>
      <w:tabs>
        <w:tab w:val="left" w:pos="0"/>
        <w:tab w:val="left" w:pos="1100"/>
        <w:tab w:val="right" w:leader="dot" w:pos="9016"/>
      </w:tabs>
      <w:spacing w:after="100"/>
      <w:ind w:left="1134" w:hanging="850"/>
    </w:pPr>
  </w:style>
  <w:style w:type="paragraph" w:styleId="TOC2">
    <w:name w:val="toc 2"/>
    <w:basedOn w:val="Normal"/>
    <w:next w:val="Normal"/>
    <w:autoRedefine/>
    <w:uiPriority w:val="39"/>
    <w:semiHidden/>
    <w:unhideWhenUsed/>
    <w:qFormat/>
    <w:rsid w:val="00F51C4D"/>
    <w:pPr>
      <w:tabs>
        <w:tab w:val="left" w:pos="0"/>
        <w:tab w:val="right" w:leader="dot" w:pos="9016"/>
      </w:tabs>
      <w:spacing w:line="360" w:lineRule="auto"/>
    </w:pPr>
    <w:rPr>
      <w:rFonts w:ascii="Calibri" w:eastAsia="Times New Roman" w:hAnsi="Calibri" w:cs="Times New Roman"/>
    </w:rPr>
  </w:style>
  <w:style w:type="paragraph" w:styleId="TOC3">
    <w:name w:val="toc 3"/>
    <w:basedOn w:val="Normal"/>
    <w:next w:val="Normal"/>
    <w:autoRedefine/>
    <w:uiPriority w:val="39"/>
    <w:semiHidden/>
    <w:unhideWhenUsed/>
    <w:qFormat/>
    <w:rsid w:val="00F51C4D"/>
    <w:pPr>
      <w:spacing w:before="0" w:after="100" w:line="276" w:lineRule="auto"/>
      <w:ind w:left="440"/>
      <w:jc w:val="left"/>
    </w:pPr>
    <w:rPr>
      <w:rFonts w:asciiTheme="minorHAnsi" w:eastAsiaTheme="minorEastAsia" w:hAnsiTheme="minorHAnsi"/>
      <w:sz w:val="22"/>
      <w:lang w:val="en-US" w:eastAsia="ja-JP"/>
    </w:rPr>
  </w:style>
  <w:style w:type="paragraph" w:styleId="FootnoteText">
    <w:name w:val="footnote text"/>
    <w:basedOn w:val="Normal"/>
    <w:link w:val="FootnoteTextChar"/>
    <w:semiHidden/>
    <w:unhideWhenUsed/>
    <w:rsid w:val="00F51C4D"/>
    <w:rPr>
      <w:sz w:val="20"/>
      <w:szCs w:val="20"/>
    </w:rPr>
  </w:style>
  <w:style w:type="character" w:customStyle="1" w:styleId="FootnoteTextChar">
    <w:name w:val="Footnote Text Char"/>
    <w:basedOn w:val="DefaultParagraphFont"/>
    <w:link w:val="FootnoteText"/>
    <w:semiHidden/>
    <w:rsid w:val="00F51C4D"/>
    <w:rPr>
      <w:rFonts w:ascii="Arial" w:hAnsi="Arial"/>
      <w:sz w:val="20"/>
      <w:szCs w:val="20"/>
    </w:rPr>
  </w:style>
  <w:style w:type="paragraph" w:styleId="CommentText">
    <w:name w:val="annotation text"/>
    <w:basedOn w:val="Normal"/>
    <w:link w:val="CommentTextChar"/>
    <w:semiHidden/>
    <w:unhideWhenUsed/>
    <w:rsid w:val="00F51C4D"/>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51C4D"/>
    <w:rPr>
      <w:rFonts w:ascii="Times New Roman" w:eastAsia="Times New Roman" w:hAnsi="Times New Roman" w:cs="Times New Roman"/>
      <w:sz w:val="20"/>
      <w:szCs w:val="20"/>
      <w:lang w:eastAsia="en-GB"/>
    </w:rPr>
  </w:style>
  <w:style w:type="paragraph" w:styleId="Header">
    <w:name w:val="header"/>
    <w:basedOn w:val="Normal"/>
    <w:link w:val="HeaderChar"/>
    <w:semiHidden/>
    <w:unhideWhenUsed/>
    <w:rsid w:val="00F51C4D"/>
    <w:pPr>
      <w:tabs>
        <w:tab w:val="center" w:pos="4513"/>
        <w:tab w:val="right" w:pos="9026"/>
      </w:tabs>
    </w:pPr>
  </w:style>
  <w:style w:type="character" w:customStyle="1" w:styleId="HeaderChar">
    <w:name w:val="Header Char"/>
    <w:basedOn w:val="DefaultParagraphFont"/>
    <w:link w:val="Header"/>
    <w:semiHidden/>
    <w:rsid w:val="00F51C4D"/>
    <w:rPr>
      <w:rFonts w:ascii="Arial" w:hAnsi="Arial"/>
      <w:sz w:val="24"/>
    </w:rPr>
  </w:style>
  <w:style w:type="paragraph" w:styleId="Footer">
    <w:name w:val="footer"/>
    <w:basedOn w:val="Normal"/>
    <w:link w:val="FooterChar"/>
    <w:semiHidden/>
    <w:unhideWhenUsed/>
    <w:rsid w:val="00F51C4D"/>
    <w:pPr>
      <w:tabs>
        <w:tab w:val="center" w:pos="4513"/>
        <w:tab w:val="right" w:pos="9026"/>
      </w:tabs>
    </w:pPr>
  </w:style>
  <w:style w:type="character" w:customStyle="1" w:styleId="FooterChar">
    <w:name w:val="Footer Char"/>
    <w:basedOn w:val="DefaultParagraphFont"/>
    <w:link w:val="Footer"/>
    <w:semiHidden/>
    <w:rsid w:val="00F51C4D"/>
    <w:rPr>
      <w:rFonts w:ascii="Arial" w:hAnsi="Arial"/>
      <w:sz w:val="24"/>
    </w:rPr>
  </w:style>
  <w:style w:type="paragraph" w:styleId="EndnoteText">
    <w:name w:val="endnote text"/>
    <w:basedOn w:val="Normal"/>
    <w:link w:val="EndnoteTextChar"/>
    <w:uiPriority w:val="99"/>
    <w:semiHidden/>
    <w:unhideWhenUsed/>
    <w:rsid w:val="00F51C4D"/>
    <w:pPr>
      <w:spacing w:before="0" w:after="0"/>
    </w:pPr>
    <w:rPr>
      <w:sz w:val="20"/>
      <w:szCs w:val="20"/>
    </w:rPr>
  </w:style>
  <w:style w:type="character" w:customStyle="1" w:styleId="EndnoteTextChar">
    <w:name w:val="Endnote Text Char"/>
    <w:basedOn w:val="DefaultParagraphFont"/>
    <w:link w:val="EndnoteText"/>
    <w:uiPriority w:val="99"/>
    <w:semiHidden/>
    <w:rsid w:val="00F51C4D"/>
    <w:rPr>
      <w:rFonts w:ascii="Arial" w:hAnsi="Arial"/>
      <w:sz w:val="20"/>
      <w:szCs w:val="20"/>
    </w:rPr>
  </w:style>
  <w:style w:type="paragraph" w:styleId="Title">
    <w:name w:val="Title"/>
    <w:basedOn w:val="Normal"/>
    <w:link w:val="TitleChar"/>
    <w:autoRedefine/>
    <w:qFormat/>
    <w:rsid w:val="00F51C4D"/>
    <w:pPr>
      <w:jc w:val="right"/>
      <w:outlineLvl w:val="0"/>
    </w:pPr>
    <w:rPr>
      <w:rFonts w:ascii="Calibri" w:eastAsia="Times New Roman" w:hAnsi="Calibri" w:cs="Arial"/>
      <w:b/>
      <w:bCs/>
      <w:kern w:val="28"/>
      <w:sz w:val="60"/>
      <w:szCs w:val="60"/>
    </w:rPr>
  </w:style>
  <w:style w:type="character" w:customStyle="1" w:styleId="TitleChar">
    <w:name w:val="Title Char"/>
    <w:basedOn w:val="DefaultParagraphFont"/>
    <w:link w:val="Title"/>
    <w:rsid w:val="00F51C4D"/>
    <w:rPr>
      <w:rFonts w:ascii="Calibri" w:eastAsia="Times New Roman" w:hAnsi="Calibri" w:cs="Arial"/>
      <w:b/>
      <w:bCs/>
      <w:kern w:val="28"/>
      <w:sz w:val="60"/>
      <w:szCs w:val="60"/>
    </w:rPr>
  </w:style>
  <w:style w:type="paragraph" w:styleId="CommentSubject">
    <w:name w:val="annotation subject"/>
    <w:basedOn w:val="CommentText"/>
    <w:next w:val="CommentText"/>
    <w:link w:val="CommentSubjectChar"/>
    <w:semiHidden/>
    <w:unhideWhenUsed/>
    <w:rsid w:val="00F51C4D"/>
    <w:rPr>
      <w:b/>
      <w:bCs/>
    </w:rPr>
  </w:style>
  <w:style w:type="character" w:customStyle="1" w:styleId="CommentSubjectChar">
    <w:name w:val="Comment Subject Char"/>
    <w:basedOn w:val="CommentTextChar"/>
    <w:link w:val="CommentSubject"/>
    <w:semiHidden/>
    <w:rsid w:val="00F51C4D"/>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F51C4D"/>
    <w:rPr>
      <w:rFonts w:ascii="Tahoma" w:hAnsi="Tahoma" w:cs="Tahoma"/>
      <w:sz w:val="16"/>
      <w:szCs w:val="16"/>
    </w:rPr>
  </w:style>
  <w:style w:type="character" w:customStyle="1" w:styleId="BalloonTextChar">
    <w:name w:val="Balloon Text Char"/>
    <w:basedOn w:val="DefaultParagraphFont"/>
    <w:link w:val="BalloonText"/>
    <w:semiHidden/>
    <w:rsid w:val="00F51C4D"/>
    <w:rPr>
      <w:rFonts w:ascii="Tahoma" w:hAnsi="Tahoma" w:cs="Tahoma"/>
      <w:sz w:val="16"/>
      <w:szCs w:val="16"/>
    </w:rPr>
  </w:style>
  <w:style w:type="paragraph" w:styleId="NoSpacing">
    <w:name w:val="No Spacing"/>
    <w:uiPriority w:val="1"/>
    <w:qFormat/>
    <w:rsid w:val="00F51C4D"/>
    <w:pPr>
      <w:spacing w:after="0" w:line="240" w:lineRule="auto"/>
      <w:ind w:left="709"/>
      <w:jc w:val="both"/>
    </w:pPr>
  </w:style>
  <w:style w:type="paragraph" w:styleId="Revision">
    <w:name w:val="Revision"/>
    <w:uiPriority w:val="99"/>
    <w:semiHidden/>
    <w:rsid w:val="00F51C4D"/>
    <w:pPr>
      <w:spacing w:after="0" w:line="240" w:lineRule="auto"/>
    </w:pPr>
    <w:rPr>
      <w:rFonts w:ascii="Arial" w:hAnsi="Arial"/>
      <w:sz w:val="24"/>
    </w:rPr>
  </w:style>
  <w:style w:type="paragraph" w:styleId="ListParagraph">
    <w:name w:val="List Paragraph"/>
    <w:basedOn w:val="Normal"/>
    <w:uiPriority w:val="34"/>
    <w:qFormat/>
    <w:rsid w:val="00F51C4D"/>
    <w:pPr>
      <w:ind w:left="720"/>
      <w:contextualSpacing/>
    </w:pPr>
  </w:style>
  <w:style w:type="paragraph" w:styleId="Bibliography">
    <w:name w:val="Bibliography"/>
    <w:basedOn w:val="Normal"/>
    <w:next w:val="Normal"/>
    <w:uiPriority w:val="37"/>
    <w:semiHidden/>
    <w:unhideWhenUsed/>
    <w:rsid w:val="00F51C4D"/>
  </w:style>
  <w:style w:type="paragraph" w:styleId="TOCHeading">
    <w:name w:val="TOC Heading"/>
    <w:basedOn w:val="Heading1"/>
    <w:next w:val="Normal"/>
    <w:uiPriority w:val="39"/>
    <w:semiHidden/>
    <w:unhideWhenUsed/>
    <w:qFormat/>
    <w:rsid w:val="00F51C4D"/>
    <w:pPr>
      <w:spacing w:before="480" w:line="276" w:lineRule="auto"/>
      <w:outlineLvl w:val="9"/>
    </w:pPr>
    <w:rPr>
      <w:rFonts w:asciiTheme="majorHAnsi" w:hAnsiTheme="majorHAnsi" w:cstheme="majorBidi"/>
      <w:color w:val="365F91" w:themeColor="accent1" w:themeShade="BF"/>
      <w:sz w:val="28"/>
      <w:szCs w:val="28"/>
      <w:lang w:eastAsia="ja-JP"/>
    </w:rPr>
  </w:style>
  <w:style w:type="paragraph" w:customStyle="1" w:styleId="Default">
    <w:name w:val="Default"/>
    <w:rsid w:val="00F51C4D"/>
    <w:pPr>
      <w:autoSpaceDE w:val="0"/>
      <w:autoSpaceDN w:val="0"/>
      <w:adjustRightInd w:val="0"/>
      <w:spacing w:before="120" w:after="120" w:line="240" w:lineRule="auto"/>
      <w:ind w:left="709"/>
      <w:jc w:val="both"/>
    </w:pPr>
    <w:rPr>
      <w:rFonts w:ascii="Arial" w:eastAsia="Times New Roman" w:hAnsi="Arial" w:cs="Arial"/>
      <w:color w:val="000000"/>
      <w:sz w:val="24"/>
      <w:szCs w:val="24"/>
      <w:lang w:eastAsia="en-GB"/>
    </w:rPr>
  </w:style>
  <w:style w:type="character" w:styleId="FootnoteReference">
    <w:name w:val="footnote reference"/>
    <w:basedOn w:val="DefaultParagraphFont"/>
    <w:semiHidden/>
    <w:unhideWhenUsed/>
    <w:rsid w:val="00F51C4D"/>
    <w:rPr>
      <w:vertAlign w:val="superscript"/>
    </w:rPr>
  </w:style>
  <w:style w:type="character" w:styleId="CommentReference">
    <w:name w:val="annotation reference"/>
    <w:semiHidden/>
    <w:unhideWhenUsed/>
    <w:rsid w:val="00F51C4D"/>
    <w:rPr>
      <w:sz w:val="16"/>
      <w:szCs w:val="16"/>
    </w:rPr>
  </w:style>
  <w:style w:type="character" w:styleId="EndnoteReference">
    <w:name w:val="endnote reference"/>
    <w:basedOn w:val="DefaultParagraphFont"/>
    <w:uiPriority w:val="99"/>
    <w:semiHidden/>
    <w:unhideWhenUsed/>
    <w:rsid w:val="00F51C4D"/>
    <w:rPr>
      <w:vertAlign w:val="superscript"/>
    </w:rPr>
  </w:style>
  <w:style w:type="character" w:customStyle="1" w:styleId="CommentTextChar1">
    <w:name w:val="Comment Text Char1"/>
    <w:basedOn w:val="DefaultParagraphFont"/>
    <w:uiPriority w:val="99"/>
    <w:semiHidden/>
    <w:rsid w:val="00F51C4D"/>
    <w:rPr>
      <w:rFonts w:ascii="Arial" w:hAnsi="Arial" w:cs="Arial" w:hint="default"/>
      <w:sz w:val="20"/>
      <w:szCs w:val="20"/>
    </w:rPr>
  </w:style>
  <w:style w:type="character" w:customStyle="1" w:styleId="CommentSubjectChar1">
    <w:name w:val="Comment Subject Char1"/>
    <w:basedOn w:val="CommentTextChar1"/>
    <w:uiPriority w:val="99"/>
    <w:semiHidden/>
    <w:rsid w:val="00F51C4D"/>
    <w:rPr>
      <w:rFonts w:ascii="Arial" w:hAnsi="Arial" w:cs="Arial" w:hint="default"/>
      <w:b/>
      <w:bCs/>
      <w:sz w:val="20"/>
      <w:szCs w:val="20"/>
    </w:rPr>
  </w:style>
  <w:style w:type="table" w:styleId="TableGrid">
    <w:name w:val="Table Grid"/>
    <w:basedOn w:val="TableNormal"/>
    <w:rsid w:val="00F51C4D"/>
    <w:pPr>
      <w:spacing w:before="120" w:after="120" w:line="240" w:lineRule="auto"/>
      <w:ind w:left="709"/>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4D"/>
    <w:pPr>
      <w:spacing w:before="120" w:after="120" w:line="240" w:lineRule="auto"/>
      <w:ind w:left="709"/>
      <w:jc w:val="both"/>
    </w:pPr>
    <w:rPr>
      <w:rFonts w:ascii="Arial" w:hAnsi="Arial"/>
      <w:sz w:val="24"/>
    </w:rPr>
  </w:style>
  <w:style w:type="paragraph" w:styleId="Heading1">
    <w:name w:val="heading 1"/>
    <w:basedOn w:val="Normal"/>
    <w:next w:val="Normal"/>
    <w:link w:val="Heading1Char"/>
    <w:autoRedefine/>
    <w:uiPriority w:val="9"/>
    <w:qFormat/>
    <w:rsid w:val="00F51C4D"/>
    <w:pPr>
      <w:numPr>
        <w:numId w:val="1"/>
      </w:numPr>
      <w:tabs>
        <w:tab w:val="left" w:pos="0"/>
      </w:tabs>
      <w:spacing w:before="0" w:after="0"/>
      <w:ind w:left="567" w:hanging="567"/>
      <w:contextualSpacing/>
      <w:outlineLvl w:val="0"/>
    </w:pPr>
    <w:rPr>
      <w:rFonts w:eastAsia="Times New Roman" w:cs="Arial"/>
      <w:b/>
      <w:bCs/>
      <w:color w:val="000000" w:themeColor="text1"/>
      <w:szCs w:val="24"/>
      <w:lang w:val="en-US" w:eastAsia="en-GB"/>
    </w:rPr>
  </w:style>
  <w:style w:type="paragraph" w:styleId="Heading2">
    <w:name w:val="heading 2"/>
    <w:basedOn w:val="Normal"/>
    <w:next w:val="Normal"/>
    <w:link w:val="Heading2Char"/>
    <w:autoRedefine/>
    <w:uiPriority w:val="9"/>
    <w:semiHidden/>
    <w:unhideWhenUsed/>
    <w:qFormat/>
    <w:rsid w:val="00F51C4D"/>
    <w:pPr>
      <w:numPr>
        <w:ilvl w:val="1"/>
        <w:numId w:val="1"/>
      </w:numPr>
      <w:tabs>
        <w:tab w:val="left" w:pos="709"/>
      </w:tabs>
      <w:spacing w:before="0" w:after="0"/>
      <w:outlineLvl w:val="1"/>
    </w:pPr>
    <w:rPr>
      <w:rFonts w:cs="Arial"/>
      <w:szCs w:val="24"/>
    </w:rPr>
  </w:style>
  <w:style w:type="paragraph" w:styleId="Heading3">
    <w:name w:val="heading 3"/>
    <w:basedOn w:val="Normal"/>
    <w:next w:val="Normal"/>
    <w:link w:val="Heading3Char"/>
    <w:uiPriority w:val="9"/>
    <w:semiHidden/>
    <w:unhideWhenUsed/>
    <w:qFormat/>
    <w:rsid w:val="00F51C4D"/>
    <w:pPr>
      <w:keepNext/>
      <w:keepLines/>
      <w:numPr>
        <w:ilvl w:val="2"/>
        <w:numId w:val="1"/>
      </w:numPr>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F51C4D"/>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F51C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1C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1C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1C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1C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4D"/>
    <w:rPr>
      <w:rFonts w:ascii="Arial" w:eastAsia="Times New Roman" w:hAnsi="Arial" w:cs="Arial"/>
      <w:b/>
      <w:bCs/>
      <w:color w:val="000000" w:themeColor="text1"/>
      <w:sz w:val="24"/>
      <w:szCs w:val="24"/>
      <w:lang w:val="en-US" w:eastAsia="en-GB"/>
    </w:rPr>
  </w:style>
  <w:style w:type="character" w:customStyle="1" w:styleId="Heading2Char">
    <w:name w:val="Heading 2 Char"/>
    <w:basedOn w:val="DefaultParagraphFont"/>
    <w:link w:val="Heading2"/>
    <w:uiPriority w:val="9"/>
    <w:semiHidden/>
    <w:rsid w:val="00F51C4D"/>
    <w:rPr>
      <w:rFonts w:ascii="Arial" w:hAnsi="Arial" w:cs="Arial"/>
      <w:sz w:val="24"/>
      <w:szCs w:val="24"/>
    </w:rPr>
  </w:style>
  <w:style w:type="character" w:customStyle="1" w:styleId="Heading3Char">
    <w:name w:val="Heading 3 Char"/>
    <w:basedOn w:val="DefaultParagraphFont"/>
    <w:link w:val="Heading3"/>
    <w:uiPriority w:val="9"/>
    <w:semiHidden/>
    <w:rsid w:val="00F51C4D"/>
    <w:rPr>
      <w:rFonts w:ascii="Arial" w:eastAsiaTheme="majorEastAsia" w:hAnsi="Arial" w:cstheme="majorBidi"/>
      <w:bCs/>
      <w:sz w:val="24"/>
    </w:rPr>
  </w:style>
  <w:style w:type="character" w:customStyle="1" w:styleId="Heading4Char">
    <w:name w:val="Heading 4 Char"/>
    <w:basedOn w:val="DefaultParagraphFont"/>
    <w:link w:val="Heading4"/>
    <w:uiPriority w:val="9"/>
    <w:semiHidden/>
    <w:rsid w:val="00F51C4D"/>
    <w:rPr>
      <w:rFonts w:ascii="Arial" w:eastAsiaTheme="majorEastAsia" w:hAnsi="Arial" w:cstheme="majorBidi"/>
      <w:b/>
      <w:bCs/>
      <w:i/>
      <w:iCs/>
      <w:sz w:val="24"/>
    </w:rPr>
  </w:style>
  <w:style w:type="character" w:customStyle="1" w:styleId="Heading5Char">
    <w:name w:val="Heading 5 Char"/>
    <w:basedOn w:val="DefaultParagraphFont"/>
    <w:link w:val="Heading5"/>
    <w:uiPriority w:val="9"/>
    <w:semiHidden/>
    <w:rsid w:val="00F51C4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51C4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51C4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51C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1C4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F51C4D"/>
    <w:rPr>
      <w:color w:val="0000FF" w:themeColor="hyperlink"/>
      <w:u w:val="single"/>
    </w:rPr>
  </w:style>
  <w:style w:type="character" w:styleId="FollowedHyperlink">
    <w:name w:val="FollowedHyperlink"/>
    <w:semiHidden/>
    <w:unhideWhenUsed/>
    <w:rsid w:val="00F51C4D"/>
    <w:rPr>
      <w:color w:val="800080"/>
      <w:u w:val="single"/>
    </w:rPr>
  </w:style>
  <w:style w:type="paragraph" w:styleId="NormalWeb">
    <w:name w:val="Normal (Web)"/>
    <w:basedOn w:val="Normal"/>
    <w:semiHidden/>
    <w:unhideWhenUsed/>
    <w:rsid w:val="00F51C4D"/>
    <w:pPr>
      <w:spacing w:before="100" w:beforeAutospacing="1" w:after="100" w:afterAutospacing="1"/>
    </w:pPr>
    <w:rPr>
      <w:rFonts w:ascii="Times New Roman" w:eastAsia="Times New Roman" w:hAnsi="Times New Roman" w:cs="Times New Roman"/>
      <w:szCs w:val="24"/>
      <w:lang w:eastAsia="en-GB"/>
    </w:rPr>
  </w:style>
  <w:style w:type="paragraph" w:styleId="TOC1">
    <w:name w:val="toc 1"/>
    <w:basedOn w:val="Normal"/>
    <w:next w:val="Normal"/>
    <w:autoRedefine/>
    <w:uiPriority w:val="39"/>
    <w:semiHidden/>
    <w:unhideWhenUsed/>
    <w:qFormat/>
    <w:rsid w:val="00F51C4D"/>
    <w:pPr>
      <w:tabs>
        <w:tab w:val="left" w:pos="0"/>
        <w:tab w:val="left" w:pos="1100"/>
        <w:tab w:val="right" w:leader="dot" w:pos="9016"/>
      </w:tabs>
      <w:spacing w:after="100"/>
      <w:ind w:left="1134" w:hanging="850"/>
    </w:pPr>
  </w:style>
  <w:style w:type="paragraph" w:styleId="TOC2">
    <w:name w:val="toc 2"/>
    <w:basedOn w:val="Normal"/>
    <w:next w:val="Normal"/>
    <w:autoRedefine/>
    <w:uiPriority w:val="39"/>
    <w:semiHidden/>
    <w:unhideWhenUsed/>
    <w:qFormat/>
    <w:rsid w:val="00F51C4D"/>
    <w:pPr>
      <w:tabs>
        <w:tab w:val="left" w:pos="0"/>
        <w:tab w:val="right" w:leader="dot" w:pos="9016"/>
      </w:tabs>
      <w:spacing w:line="360" w:lineRule="auto"/>
    </w:pPr>
    <w:rPr>
      <w:rFonts w:ascii="Calibri" w:eastAsia="Times New Roman" w:hAnsi="Calibri" w:cs="Times New Roman"/>
    </w:rPr>
  </w:style>
  <w:style w:type="paragraph" w:styleId="TOC3">
    <w:name w:val="toc 3"/>
    <w:basedOn w:val="Normal"/>
    <w:next w:val="Normal"/>
    <w:autoRedefine/>
    <w:uiPriority w:val="39"/>
    <w:semiHidden/>
    <w:unhideWhenUsed/>
    <w:qFormat/>
    <w:rsid w:val="00F51C4D"/>
    <w:pPr>
      <w:spacing w:before="0" w:after="100" w:line="276" w:lineRule="auto"/>
      <w:ind w:left="440"/>
      <w:jc w:val="left"/>
    </w:pPr>
    <w:rPr>
      <w:rFonts w:asciiTheme="minorHAnsi" w:eastAsiaTheme="minorEastAsia" w:hAnsiTheme="minorHAnsi"/>
      <w:sz w:val="22"/>
      <w:lang w:val="en-US" w:eastAsia="ja-JP"/>
    </w:rPr>
  </w:style>
  <w:style w:type="paragraph" w:styleId="FootnoteText">
    <w:name w:val="footnote text"/>
    <w:basedOn w:val="Normal"/>
    <w:link w:val="FootnoteTextChar"/>
    <w:semiHidden/>
    <w:unhideWhenUsed/>
    <w:rsid w:val="00F51C4D"/>
    <w:rPr>
      <w:sz w:val="20"/>
      <w:szCs w:val="20"/>
    </w:rPr>
  </w:style>
  <w:style w:type="character" w:customStyle="1" w:styleId="FootnoteTextChar">
    <w:name w:val="Footnote Text Char"/>
    <w:basedOn w:val="DefaultParagraphFont"/>
    <w:link w:val="FootnoteText"/>
    <w:semiHidden/>
    <w:rsid w:val="00F51C4D"/>
    <w:rPr>
      <w:rFonts w:ascii="Arial" w:hAnsi="Arial"/>
      <w:sz w:val="20"/>
      <w:szCs w:val="20"/>
    </w:rPr>
  </w:style>
  <w:style w:type="paragraph" w:styleId="CommentText">
    <w:name w:val="annotation text"/>
    <w:basedOn w:val="Normal"/>
    <w:link w:val="CommentTextChar"/>
    <w:semiHidden/>
    <w:unhideWhenUsed/>
    <w:rsid w:val="00F51C4D"/>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51C4D"/>
    <w:rPr>
      <w:rFonts w:ascii="Times New Roman" w:eastAsia="Times New Roman" w:hAnsi="Times New Roman" w:cs="Times New Roman"/>
      <w:sz w:val="20"/>
      <w:szCs w:val="20"/>
      <w:lang w:eastAsia="en-GB"/>
    </w:rPr>
  </w:style>
  <w:style w:type="paragraph" w:styleId="Header">
    <w:name w:val="header"/>
    <w:basedOn w:val="Normal"/>
    <w:link w:val="HeaderChar"/>
    <w:semiHidden/>
    <w:unhideWhenUsed/>
    <w:rsid w:val="00F51C4D"/>
    <w:pPr>
      <w:tabs>
        <w:tab w:val="center" w:pos="4513"/>
        <w:tab w:val="right" w:pos="9026"/>
      </w:tabs>
    </w:pPr>
  </w:style>
  <w:style w:type="character" w:customStyle="1" w:styleId="HeaderChar">
    <w:name w:val="Header Char"/>
    <w:basedOn w:val="DefaultParagraphFont"/>
    <w:link w:val="Header"/>
    <w:semiHidden/>
    <w:rsid w:val="00F51C4D"/>
    <w:rPr>
      <w:rFonts w:ascii="Arial" w:hAnsi="Arial"/>
      <w:sz w:val="24"/>
    </w:rPr>
  </w:style>
  <w:style w:type="paragraph" w:styleId="Footer">
    <w:name w:val="footer"/>
    <w:basedOn w:val="Normal"/>
    <w:link w:val="FooterChar"/>
    <w:semiHidden/>
    <w:unhideWhenUsed/>
    <w:rsid w:val="00F51C4D"/>
    <w:pPr>
      <w:tabs>
        <w:tab w:val="center" w:pos="4513"/>
        <w:tab w:val="right" w:pos="9026"/>
      </w:tabs>
    </w:pPr>
  </w:style>
  <w:style w:type="character" w:customStyle="1" w:styleId="FooterChar">
    <w:name w:val="Footer Char"/>
    <w:basedOn w:val="DefaultParagraphFont"/>
    <w:link w:val="Footer"/>
    <w:semiHidden/>
    <w:rsid w:val="00F51C4D"/>
    <w:rPr>
      <w:rFonts w:ascii="Arial" w:hAnsi="Arial"/>
      <w:sz w:val="24"/>
    </w:rPr>
  </w:style>
  <w:style w:type="paragraph" w:styleId="EndnoteText">
    <w:name w:val="endnote text"/>
    <w:basedOn w:val="Normal"/>
    <w:link w:val="EndnoteTextChar"/>
    <w:uiPriority w:val="99"/>
    <w:semiHidden/>
    <w:unhideWhenUsed/>
    <w:rsid w:val="00F51C4D"/>
    <w:pPr>
      <w:spacing w:before="0" w:after="0"/>
    </w:pPr>
    <w:rPr>
      <w:sz w:val="20"/>
      <w:szCs w:val="20"/>
    </w:rPr>
  </w:style>
  <w:style w:type="character" w:customStyle="1" w:styleId="EndnoteTextChar">
    <w:name w:val="Endnote Text Char"/>
    <w:basedOn w:val="DefaultParagraphFont"/>
    <w:link w:val="EndnoteText"/>
    <w:uiPriority w:val="99"/>
    <w:semiHidden/>
    <w:rsid w:val="00F51C4D"/>
    <w:rPr>
      <w:rFonts w:ascii="Arial" w:hAnsi="Arial"/>
      <w:sz w:val="20"/>
      <w:szCs w:val="20"/>
    </w:rPr>
  </w:style>
  <w:style w:type="paragraph" w:styleId="Title">
    <w:name w:val="Title"/>
    <w:basedOn w:val="Normal"/>
    <w:link w:val="TitleChar"/>
    <w:autoRedefine/>
    <w:qFormat/>
    <w:rsid w:val="00F51C4D"/>
    <w:pPr>
      <w:jc w:val="right"/>
      <w:outlineLvl w:val="0"/>
    </w:pPr>
    <w:rPr>
      <w:rFonts w:ascii="Calibri" w:eastAsia="Times New Roman" w:hAnsi="Calibri" w:cs="Arial"/>
      <w:b/>
      <w:bCs/>
      <w:kern w:val="28"/>
      <w:sz w:val="60"/>
      <w:szCs w:val="60"/>
    </w:rPr>
  </w:style>
  <w:style w:type="character" w:customStyle="1" w:styleId="TitleChar">
    <w:name w:val="Title Char"/>
    <w:basedOn w:val="DefaultParagraphFont"/>
    <w:link w:val="Title"/>
    <w:rsid w:val="00F51C4D"/>
    <w:rPr>
      <w:rFonts w:ascii="Calibri" w:eastAsia="Times New Roman" w:hAnsi="Calibri" w:cs="Arial"/>
      <w:b/>
      <w:bCs/>
      <w:kern w:val="28"/>
      <w:sz w:val="60"/>
      <w:szCs w:val="60"/>
    </w:rPr>
  </w:style>
  <w:style w:type="paragraph" w:styleId="CommentSubject">
    <w:name w:val="annotation subject"/>
    <w:basedOn w:val="CommentText"/>
    <w:next w:val="CommentText"/>
    <w:link w:val="CommentSubjectChar"/>
    <w:semiHidden/>
    <w:unhideWhenUsed/>
    <w:rsid w:val="00F51C4D"/>
    <w:rPr>
      <w:b/>
      <w:bCs/>
    </w:rPr>
  </w:style>
  <w:style w:type="character" w:customStyle="1" w:styleId="CommentSubjectChar">
    <w:name w:val="Comment Subject Char"/>
    <w:basedOn w:val="CommentTextChar"/>
    <w:link w:val="CommentSubject"/>
    <w:semiHidden/>
    <w:rsid w:val="00F51C4D"/>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F51C4D"/>
    <w:rPr>
      <w:rFonts w:ascii="Tahoma" w:hAnsi="Tahoma" w:cs="Tahoma"/>
      <w:sz w:val="16"/>
      <w:szCs w:val="16"/>
    </w:rPr>
  </w:style>
  <w:style w:type="character" w:customStyle="1" w:styleId="BalloonTextChar">
    <w:name w:val="Balloon Text Char"/>
    <w:basedOn w:val="DefaultParagraphFont"/>
    <w:link w:val="BalloonText"/>
    <w:semiHidden/>
    <w:rsid w:val="00F51C4D"/>
    <w:rPr>
      <w:rFonts w:ascii="Tahoma" w:hAnsi="Tahoma" w:cs="Tahoma"/>
      <w:sz w:val="16"/>
      <w:szCs w:val="16"/>
    </w:rPr>
  </w:style>
  <w:style w:type="paragraph" w:styleId="NoSpacing">
    <w:name w:val="No Spacing"/>
    <w:uiPriority w:val="1"/>
    <w:qFormat/>
    <w:rsid w:val="00F51C4D"/>
    <w:pPr>
      <w:spacing w:after="0" w:line="240" w:lineRule="auto"/>
      <w:ind w:left="709"/>
      <w:jc w:val="both"/>
    </w:pPr>
  </w:style>
  <w:style w:type="paragraph" w:styleId="Revision">
    <w:name w:val="Revision"/>
    <w:uiPriority w:val="99"/>
    <w:semiHidden/>
    <w:rsid w:val="00F51C4D"/>
    <w:pPr>
      <w:spacing w:after="0" w:line="240" w:lineRule="auto"/>
    </w:pPr>
    <w:rPr>
      <w:rFonts w:ascii="Arial" w:hAnsi="Arial"/>
      <w:sz w:val="24"/>
    </w:rPr>
  </w:style>
  <w:style w:type="paragraph" w:styleId="ListParagraph">
    <w:name w:val="List Paragraph"/>
    <w:basedOn w:val="Normal"/>
    <w:uiPriority w:val="34"/>
    <w:qFormat/>
    <w:rsid w:val="00F51C4D"/>
    <w:pPr>
      <w:ind w:left="720"/>
      <w:contextualSpacing/>
    </w:pPr>
  </w:style>
  <w:style w:type="paragraph" w:styleId="Bibliography">
    <w:name w:val="Bibliography"/>
    <w:basedOn w:val="Normal"/>
    <w:next w:val="Normal"/>
    <w:uiPriority w:val="37"/>
    <w:semiHidden/>
    <w:unhideWhenUsed/>
    <w:rsid w:val="00F51C4D"/>
  </w:style>
  <w:style w:type="paragraph" w:styleId="TOCHeading">
    <w:name w:val="TOC Heading"/>
    <w:basedOn w:val="Heading1"/>
    <w:next w:val="Normal"/>
    <w:uiPriority w:val="39"/>
    <w:semiHidden/>
    <w:unhideWhenUsed/>
    <w:qFormat/>
    <w:rsid w:val="00F51C4D"/>
    <w:pPr>
      <w:spacing w:before="480" w:line="276" w:lineRule="auto"/>
      <w:outlineLvl w:val="9"/>
    </w:pPr>
    <w:rPr>
      <w:rFonts w:asciiTheme="majorHAnsi" w:hAnsiTheme="majorHAnsi" w:cstheme="majorBidi"/>
      <w:color w:val="365F91" w:themeColor="accent1" w:themeShade="BF"/>
      <w:sz w:val="28"/>
      <w:szCs w:val="28"/>
      <w:lang w:eastAsia="ja-JP"/>
    </w:rPr>
  </w:style>
  <w:style w:type="paragraph" w:customStyle="1" w:styleId="Default">
    <w:name w:val="Default"/>
    <w:rsid w:val="00F51C4D"/>
    <w:pPr>
      <w:autoSpaceDE w:val="0"/>
      <w:autoSpaceDN w:val="0"/>
      <w:adjustRightInd w:val="0"/>
      <w:spacing w:before="120" w:after="120" w:line="240" w:lineRule="auto"/>
      <w:ind w:left="709"/>
      <w:jc w:val="both"/>
    </w:pPr>
    <w:rPr>
      <w:rFonts w:ascii="Arial" w:eastAsia="Times New Roman" w:hAnsi="Arial" w:cs="Arial"/>
      <w:color w:val="000000"/>
      <w:sz w:val="24"/>
      <w:szCs w:val="24"/>
      <w:lang w:eastAsia="en-GB"/>
    </w:rPr>
  </w:style>
  <w:style w:type="character" w:styleId="FootnoteReference">
    <w:name w:val="footnote reference"/>
    <w:basedOn w:val="DefaultParagraphFont"/>
    <w:semiHidden/>
    <w:unhideWhenUsed/>
    <w:rsid w:val="00F51C4D"/>
    <w:rPr>
      <w:vertAlign w:val="superscript"/>
    </w:rPr>
  </w:style>
  <w:style w:type="character" w:styleId="CommentReference">
    <w:name w:val="annotation reference"/>
    <w:semiHidden/>
    <w:unhideWhenUsed/>
    <w:rsid w:val="00F51C4D"/>
    <w:rPr>
      <w:sz w:val="16"/>
      <w:szCs w:val="16"/>
    </w:rPr>
  </w:style>
  <w:style w:type="character" w:styleId="EndnoteReference">
    <w:name w:val="endnote reference"/>
    <w:basedOn w:val="DefaultParagraphFont"/>
    <w:uiPriority w:val="99"/>
    <w:semiHidden/>
    <w:unhideWhenUsed/>
    <w:rsid w:val="00F51C4D"/>
    <w:rPr>
      <w:vertAlign w:val="superscript"/>
    </w:rPr>
  </w:style>
  <w:style w:type="character" w:customStyle="1" w:styleId="CommentTextChar1">
    <w:name w:val="Comment Text Char1"/>
    <w:basedOn w:val="DefaultParagraphFont"/>
    <w:uiPriority w:val="99"/>
    <w:semiHidden/>
    <w:rsid w:val="00F51C4D"/>
    <w:rPr>
      <w:rFonts w:ascii="Arial" w:hAnsi="Arial" w:cs="Arial" w:hint="default"/>
      <w:sz w:val="20"/>
      <w:szCs w:val="20"/>
    </w:rPr>
  </w:style>
  <w:style w:type="character" w:customStyle="1" w:styleId="CommentSubjectChar1">
    <w:name w:val="Comment Subject Char1"/>
    <w:basedOn w:val="CommentTextChar1"/>
    <w:uiPriority w:val="99"/>
    <w:semiHidden/>
    <w:rsid w:val="00F51C4D"/>
    <w:rPr>
      <w:rFonts w:ascii="Arial" w:hAnsi="Arial" w:cs="Arial" w:hint="default"/>
      <w:b/>
      <w:bCs/>
      <w:sz w:val="20"/>
      <w:szCs w:val="20"/>
    </w:rPr>
  </w:style>
  <w:style w:type="table" w:styleId="TableGrid">
    <w:name w:val="Table Grid"/>
    <w:basedOn w:val="TableNormal"/>
    <w:rsid w:val="00F51C4D"/>
    <w:pPr>
      <w:spacing w:before="120" w:after="120" w:line="240" w:lineRule="auto"/>
      <w:ind w:left="709"/>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www.ons.gov.uk" TargetMode="External"/><Relationship Id="rId2" Type="http://schemas.openxmlformats.org/officeDocument/2006/relationships/hyperlink" Target="https://www.nomisweb.co.uk/census/2011/data_finder" TargetMode="External"/><Relationship Id="rId1" Type="http://schemas.openxmlformats.org/officeDocument/2006/relationships/hyperlink" Target="http://www.mkiobservatory.org.uk/page.aspx?id=1924&amp;siteID=1026" TargetMode="External"/><Relationship Id="rId6" Type="http://schemas.openxmlformats.org/officeDocument/2006/relationships/hyperlink" Target="http://www.ons.gov.uk" TargetMode="External"/><Relationship Id="rId5" Type="http://schemas.openxmlformats.org/officeDocument/2006/relationships/hyperlink" Target="http://www.milton-keynes.gov.uk/business/economic-development/local-economic-assessment" TargetMode="External"/><Relationship Id="rId4" Type="http://schemas.openxmlformats.org/officeDocument/2006/relationships/hyperlink" Target="http://www.mkiobservatory.org.uk/document.aspx?id=10291&amp;siteID=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19</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Beake</dc:creator>
  <cp:keywords/>
  <dc:description/>
  <cp:lastModifiedBy>Jeremy Beake</cp:lastModifiedBy>
  <cp:revision>1</cp:revision>
  <dcterms:created xsi:type="dcterms:W3CDTF">2014-10-01T10:39:00Z</dcterms:created>
  <dcterms:modified xsi:type="dcterms:W3CDTF">2014-10-01T14:54:00Z</dcterms:modified>
</cp:coreProperties>
</file>